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C4F66">
      <w:pPr>
        <w:ind w:right="2892"/>
        <w:rPr>
          <w:b/>
          <w:kern w:val="0"/>
          <w:sz w:val="30"/>
          <w:szCs w:val="30"/>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4420235</wp:posOffset>
            </wp:positionH>
            <wp:positionV relativeFrom="paragraph">
              <wp:posOffset>84455</wp:posOffset>
            </wp:positionV>
            <wp:extent cx="781050" cy="778510"/>
            <wp:effectExtent l="0" t="0" r="6350" b="8890"/>
            <wp:wrapSquare wrapText="bothSides"/>
            <wp:docPr id="2" name="图片 2" descr="f925346bce0f20c52c80f33bb1ff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25346bce0f20c52c80f33bb1ff302"/>
                    <pic:cNvPicPr>
                      <a:picLocks noChangeAspect="1"/>
                    </pic:cNvPicPr>
                  </pic:nvPicPr>
                  <pic:blipFill>
                    <a:blip r:embed="rId4"/>
                    <a:stretch>
                      <a:fillRect/>
                    </a:stretch>
                  </pic:blipFill>
                  <pic:spPr>
                    <a:xfrm>
                      <a:off x="0" y="0"/>
                      <a:ext cx="781050" cy="778510"/>
                    </a:xfrm>
                    <a:prstGeom prst="rect">
                      <a:avLst/>
                    </a:prstGeom>
                  </pic:spPr>
                </pic:pic>
              </a:graphicData>
            </a:graphic>
          </wp:anchor>
        </w:drawing>
      </w:r>
    </w:p>
    <w:p w14:paraId="285665D9">
      <w:pPr>
        <w:wordWrap w:val="0"/>
        <w:jc w:val="left"/>
        <w:rPr>
          <w:kern w:val="0"/>
          <w:sz w:val="24"/>
          <w:szCs w:val="15"/>
        </w:rPr>
      </w:pPr>
    </w:p>
    <w:p w14:paraId="146D1BF3">
      <w:pPr>
        <w:wordWrap w:val="0"/>
        <w:jc w:val="left"/>
        <w:rPr>
          <w:kern w:val="0"/>
          <w:sz w:val="24"/>
          <w:szCs w:val="15"/>
        </w:rPr>
      </w:pPr>
    </w:p>
    <w:p w14:paraId="46774347">
      <w:pPr>
        <w:ind w:right="2892"/>
        <w:rPr>
          <w:b/>
          <w:kern w:val="0"/>
          <w:sz w:val="48"/>
          <w:szCs w:val="48"/>
        </w:rPr>
      </w:pPr>
    </w:p>
    <w:p w14:paraId="3BD84B12">
      <w:pPr>
        <w:ind w:left="567" w:leftChars="270" w:right="651" w:rightChars="310"/>
        <w:jc w:val="distribute"/>
        <w:rPr>
          <w:rFonts w:ascii="黑体" w:hAnsi="黑体" w:eastAsia="黑体"/>
          <w:kern w:val="0"/>
          <w:sz w:val="96"/>
          <w:szCs w:val="48"/>
        </w:rPr>
      </w:pPr>
      <w:r>
        <w:rPr>
          <w:rFonts w:ascii="Times New Roman" w:hAnsi="Times New Roman" w:eastAsia="黑体"/>
        </w:rPr>
        <mc:AlternateContent>
          <mc:Choice Requires="wps">
            <w:drawing>
              <wp:anchor distT="45720" distB="45720" distL="114300" distR="114300" simplePos="0" relativeHeight="251660288" behindDoc="0" locked="0" layoutInCell="1" allowOverlap="1">
                <wp:simplePos x="0" y="0"/>
                <wp:positionH relativeFrom="page">
                  <wp:posOffset>18415</wp:posOffset>
                </wp:positionH>
                <wp:positionV relativeFrom="paragraph">
                  <wp:posOffset>1098550</wp:posOffset>
                </wp:positionV>
                <wp:extent cx="7519035" cy="1404620"/>
                <wp:effectExtent l="0" t="0" r="0" b="0"/>
                <wp:wrapSquare wrapText="bothSides"/>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19035" cy="1404620"/>
                        </a:xfrm>
                        <a:prstGeom prst="rect">
                          <a:avLst/>
                        </a:prstGeom>
                        <a:noFill/>
                        <a:ln w="9525">
                          <a:noFill/>
                          <a:miter lim="800000"/>
                        </a:ln>
                      </wps:spPr>
                      <wps:txbx>
                        <w:txbxContent>
                          <w:sdt>
                            <w:sdtPr>
                              <w:rPr>
                                <w:rFonts w:ascii="黑体" w:hAnsi="黑体" w:eastAsia="黑体"/>
                                <w:sz w:val="48"/>
                                <w:szCs w:val="48"/>
                              </w:rPr>
                              <w:id w:val="722493809"/>
                              <w:lock w:val="sdtContentLocked"/>
                              <w:placeholder>
                                <w:docPart w:val="DefaultPlaceholder_-1854013440"/>
                              </w:placeholder>
                            </w:sdtPr>
                            <w:sdtEndPr>
                              <w:rPr>
                                <w:rFonts w:ascii="黑体" w:hAnsi="黑体" w:eastAsia="黑体"/>
                                <w:sz w:val="48"/>
                                <w:szCs w:val="48"/>
                                <w:u w:val="single"/>
                              </w:rPr>
                            </w:sdtEndPr>
                            <w:sdtContent>
                              <w:p w14:paraId="63DCFCDB">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5pt;margin-top:86.5pt;height:110.6pt;width:592.05pt;mso-position-horizontal-relative:page;mso-wrap-distance-bottom:3.6pt;mso-wrap-distance-left:9pt;mso-wrap-distance-right:9pt;mso-wrap-distance-top:3.6pt;z-index:251660288;mso-width-relative:page;mso-height-relative:margin;mso-height-percent:200;" filled="f" stroked="f" coordsize="21600,21600" o:gfxdata="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YNAoNgAAAAKAQAADwAAAAAAAAABACAAAAAiAAAAZHJzL2Rvd25yZXYueG1sUEsBAhQAFAAA&#10;AAgAh07iQAmWh94oAgAAKwQAAA4AAAAAAAAAAQAgAAAAJw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48"/>
                          <w:szCs w:val="48"/>
                        </w:rPr>
                        <w:id w:val="722493809"/>
                        <w:lock w:val="sdtContentLocked"/>
                        <w:placeholder>
                          <w:docPart w:val="DefaultPlaceholder_-1854013440"/>
                        </w:placeholder>
                      </w:sdtPr>
                      <w:sdtEndPr>
                        <w:rPr>
                          <w:rFonts w:ascii="黑体" w:hAnsi="黑体" w:eastAsia="黑体"/>
                          <w:sz w:val="48"/>
                          <w:szCs w:val="48"/>
                          <w:u w:val="single"/>
                        </w:rPr>
                      </w:sdtEndPr>
                      <w:sdtContent>
                        <w:p w14:paraId="63DCFCDB">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v:textbox>
                <w10:wrap type="square"/>
              </v:shape>
            </w:pict>
          </mc:Fallback>
        </mc:AlternateContent>
      </w:r>
      <w:r>
        <w:rPr>
          <w:rFonts w:hint="eastAsia" w:ascii="黑体" w:hAnsi="黑体" w:eastAsia="黑体"/>
          <w:kern w:val="0"/>
          <w:sz w:val="96"/>
          <w:szCs w:val="48"/>
        </w:rPr>
        <w:t>团体标准</w:t>
      </w:r>
    </w:p>
    <w:p w14:paraId="478A62A3">
      <w:pPr>
        <w:autoSpaceDE w:val="0"/>
        <w:autoSpaceDN w:val="0"/>
        <w:adjustRightInd w:val="0"/>
        <w:ind w:firstLine="5775" w:firstLineChars="2750"/>
        <w:jc w:val="right"/>
        <w:rPr>
          <w:rFonts w:hint="eastAsia" w:ascii="黑体" w:eastAsia="黑体" w:cs="黑体"/>
          <w:kern w:val="0"/>
          <w:szCs w:val="21"/>
        </w:rPr>
      </w:pPr>
    </w:p>
    <w:p w14:paraId="2BBFB563">
      <w:pPr>
        <w:tabs>
          <w:tab w:val="left" w:pos="5178"/>
        </w:tabs>
        <w:ind w:left="-1800" w:right="-1800"/>
        <w:jc w:val="left"/>
        <w:rPr>
          <w:rFonts w:ascii="宋体" w:hAnsi="宋体" w:cs="黑体"/>
          <w:kern w:val="0"/>
          <w:szCs w:val="21"/>
        </w:rPr>
      </w:pPr>
    </w:p>
    <w:p w14:paraId="4B32AF0A">
      <w:pPr>
        <w:tabs>
          <w:tab w:val="left" w:pos="5178"/>
        </w:tabs>
        <w:ind w:left="-1800" w:right="-1800"/>
        <w:jc w:val="left"/>
        <w:rPr>
          <w:rFonts w:ascii="宋体" w:hAnsi="宋体" w:cs="黑体"/>
          <w:kern w:val="0"/>
          <w:szCs w:val="21"/>
        </w:rPr>
      </w:pPr>
    </w:p>
    <w:p w14:paraId="477C133D">
      <w:pPr>
        <w:tabs>
          <w:tab w:val="left" w:pos="5178"/>
        </w:tabs>
        <w:ind w:left="-1800" w:right="-1800"/>
        <w:jc w:val="left"/>
        <w:rPr>
          <w:rFonts w:ascii="宋体" w:hAnsi="宋体" w:cs="黑体"/>
          <w:kern w:val="0"/>
          <w:szCs w:val="21"/>
        </w:rPr>
      </w:pPr>
    </w:p>
    <w:p w14:paraId="41F816B5">
      <w:pPr>
        <w:tabs>
          <w:tab w:val="left" w:pos="5178"/>
        </w:tabs>
        <w:ind w:left="-1800" w:right="-1800"/>
        <w:jc w:val="left"/>
        <w:rPr>
          <w:rFonts w:ascii="宋体" w:hAnsi="宋体" w:cs="黑体"/>
          <w:kern w:val="0"/>
          <w:szCs w:val="21"/>
        </w:rPr>
      </w:pPr>
    </w:p>
    <w:p w14:paraId="6997314E">
      <w:pPr>
        <w:spacing w:line="560" w:lineRule="exact"/>
        <w:ind w:left="-1797" w:right="-1797"/>
        <w:jc w:val="center"/>
        <w:rPr>
          <w:rFonts w:ascii="黑体" w:hAnsi="黑体" w:eastAsia="黑体" w:cs="黑体"/>
          <w:kern w:val="0"/>
          <w:sz w:val="52"/>
          <w:szCs w:val="52"/>
        </w:rPr>
      </w:pPr>
      <w:r>
        <w:rPr>
          <w:rFonts w:hint="eastAsia" w:ascii="Times New Roman" w:hAnsi="Times New Roman" w:eastAsia="黑体"/>
          <w:sz w:val="36"/>
          <w:szCs w:val="36"/>
        </w:rPr>
        <w:t>枸杞药膳技术指南 第1部分 枸杞红酒</w:t>
      </w:r>
    </w:p>
    <w:p w14:paraId="157213B0">
      <w:pPr>
        <w:spacing w:line="560" w:lineRule="exact"/>
        <w:ind w:left="-1797" w:right="-1797"/>
        <w:jc w:val="center"/>
        <w:rPr>
          <w:rFonts w:ascii="黑体" w:hAnsi="黑体" w:eastAsia="黑体" w:cs="黑体"/>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征求意见稿</w:t>
      </w:r>
      <w:r>
        <w:rPr>
          <w:rFonts w:hint="eastAsia" w:ascii="黑体" w:hAnsi="黑体" w:eastAsia="黑体" w:cs="黑体"/>
          <w:kern w:val="0"/>
          <w:sz w:val="32"/>
          <w:szCs w:val="32"/>
        </w:rPr>
        <w:t>编制说明）</w:t>
      </w:r>
    </w:p>
    <w:p w14:paraId="6D032311">
      <w:pPr>
        <w:spacing w:line="560" w:lineRule="exact"/>
        <w:ind w:left="-1797" w:right="-1797"/>
        <w:jc w:val="center"/>
        <w:rPr>
          <w:rFonts w:ascii="黑体" w:hAnsi="黑体" w:eastAsia="黑体" w:cs="黑体"/>
          <w:kern w:val="0"/>
          <w:sz w:val="28"/>
          <w:szCs w:val="28"/>
        </w:rPr>
      </w:pPr>
      <w:bookmarkStart w:id="0" w:name="_Hlk46337831"/>
      <w:r>
        <w:rPr>
          <w:rFonts w:hint="eastAsia" w:ascii="黑体" w:hAnsi="黑体" w:eastAsia="黑体" w:cs="黑体"/>
          <w:kern w:val="0"/>
          <w:sz w:val="28"/>
          <w:szCs w:val="28"/>
        </w:rPr>
        <w:t>Technical guide for medlar Tonic Diet Part 1 medlar red wine</w:t>
      </w:r>
    </w:p>
    <w:bookmarkEnd w:id="0"/>
    <w:p w14:paraId="01D7C75B">
      <w:pPr>
        <w:spacing w:line="560" w:lineRule="exact"/>
        <w:ind w:left="-1797" w:right="-1797"/>
        <w:jc w:val="center"/>
        <w:rPr>
          <w:rFonts w:ascii="黑体" w:hAnsi="黑体" w:eastAsia="黑体" w:cs="黑体"/>
          <w:kern w:val="0"/>
          <w:sz w:val="28"/>
          <w:szCs w:val="28"/>
        </w:rPr>
      </w:pPr>
      <w:r>
        <w:rPr>
          <w:rFonts w:hint="eastAsia" w:ascii="黑体" w:hAnsi="黑体" w:eastAsia="黑体" w:cs="黑体"/>
          <w:kern w:val="0"/>
          <w:sz w:val="28"/>
          <w:szCs w:val="28"/>
        </w:rPr>
        <w:t>完成日期：</w:t>
      </w:r>
      <w:r>
        <w:rPr>
          <w:rFonts w:ascii="黑体" w:hAnsi="黑体" w:eastAsia="黑体" w:cs="黑体"/>
          <w:kern w:val="0"/>
          <w:sz w:val="28"/>
          <w:szCs w:val="28"/>
        </w:rPr>
        <w:t>202</w:t>
      </w:r>
      <w:r>
        <w:rPr>
          <w:rFonts w:hint="eastAsia" w:ascii="黑体" w:hAnsi="黑体" w:eastAsia="黑体" w:cs="黑体"/>
          <w:kern w:val="0"/>
          <w:sz w:val="28"/>
          <w:szCs w:val="28"/>
          <w:lang w:val="en-US" w:eastAsia="zh-CN"/>
        </w:rPr>
        <w:t>4</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11</w:t>
      </w:r>
      <w:r>
        <w:rPr>
          <w:rFonts w:hint="eastAsia" w:ascii="黑体" w:hAnsi="黑体" w:eastAsia="黑体" w:cs="黑体"/>
          <w:kern w:val="0"/>
          <w:sz w:val="28"/>
          <w:szCs w:val="28"/>
        </w:rPr>
        <w:t>月</w:t>
      </w:r>
      <w:r>
        <w:rPr>
          <w:rFonts w:hint="eastAsia" w:ascii="黑体" w:hAnsi="黑体" w:eastAsia="黑体" w:cs="黑体"/>
          <w:kern w:val="0"/>
          <w:sz w:val="28"/>
          <w:szCs w:val="28"/>
          <w:lang w:val="en-US" w:eastAsia="zh-CN"/>
        </w:rPr>
        <w:t>09</w:t>
      </w:r>
      <w:r>
        <w:rPr>
          <w:rFonts w:hint="eastAsia" w:ascii="黑体" w:hAnsi="黑体" w:eastAsia="黑体" w:cs="黑体"/>
          <w:kern w:val="0"/>
          <w:sz w:val="28"/>
          <w:szCs w:val="28"/>
        </w:rPr>
        <w:t>日</w:t>
      </w:r>
    </w:p>
    <w:p w14:paraId="713F262E">
      <w:pPr>
        <w:ind w:left="-1800" w:right="-1800"/>
        <w:jc w:val="center"/>
        <w:rPr>
          <w:rFonts w:ascii="宋体" w:hAnsi="宋体" w:cs="黑体"/>
          <w:kern w:val="0"/>
          <w:sz w:val="28"/>
          <w:szCs w:val="28"/>
        </w:rPr>
      </w:pPr>
    </w:p>
    <w:p w14:paraId="70FD3DB0">
      <w:pPr>
        <w:ind w:left="-1800" w:right="-1800"/>
        <w:jc w:val="center"/>
        <w:rPr>
          <w:rFonts w:ascii="宋体" w:hAnsi="宋体" w:cs="黑体"/>
          <w:kern w:val="0"/>
          <w:sz w:val="30"/>
          <w:szCs w:val="30"/>
        </w:rPr>
      </w:pPr>
    </w:p>
    <w:p w14:paraId="1AFDA16E">
      <w:pPr>
        <w:ind w:left="-1800" w:right="-1800"/>
        <w:jc w:val="center"/>
        <w:rPr>
          <w:rFonts w:ascii="宋体" w:hAnsi="宋体" w:cs="黑体"/>
          <w:kern w:val="0"/>
          <w:sz w:val="30"/>
          <w:szCs w:val="30"/>
        </w:rPr>
      </w:pPr>
    </w:p>
    <w:p w14:paraId="1F59E5FE">
      <w:pPr>
        <w:ind w:left="-1800" w:right="-1800"/>
        <w:jc w:val="center"/>
        <w:rPr>
          <w:rFonts w:ascii="宋体" w:hAnsi="宋体" w:cs="黑体"/>
          <w:kern w:val="0"/>
          <w:sz w:val="30"/>
          <w:szCs w:val="30"/>
        </w:rPr>
      </w:pPr>
    </w:p>
    <w:p w14:paraId="385EA64B">
      <w:pPr>
        <w:ind w:left="-1800" w:right="-1800"/>
        <w:jc w:val="center"/>
        <w:rPr>
          <w:rFonts w:ascii="宋体" w:hAnsi="宋体" w:cs="黑体"/>
          <w:kern w:val="0"/>
          <w:sz w:val="28"/>
          <w:szCs w:val="28"/>
        </w:rPr>
      </w:pPr>
    </w:p>
    <w:p w14:paraId="5551EB53">
      <w:pPr>
        <w:ind w:left="-1800" w:right="-1800"/>
        <w:jc w:val="center"/>
        <w:rPr>
          <w:rFonts w:ascii="黑体" w:hAnsi="黑体" w:eastAsia="黑体"/>
          <w:sz w:val="28"/>
          <w:szCs w:val="28"/>
          <w:u w:val="single"/>
        </w:rPr>
      </w:pPr>
      <w:r>
        <w:rPr>
          <w:rFonts w:hint="eastAsia" w:ascii="黑体" w:hAnsi="黑体" w:eastAsia="黑体"/>
          <w:sz w:val="28"/>
          <w:szCs w:val="28"/>
          <w:u w:val="single"/>
        </w:rPr>
        <w:t>XXXXX-XX-XX发布                                  XXXX-XX-XX实施</w:t>
      </w:r>
    </w:p>
    <w:p w14:paraId="5925E1F1">
      <w:pPr>
        <w:ind w:left="-1800" w:right="-1800"/>
        <w:jc w:val="center"/>
        <w:rPr>
          <w:rFonts w:ascii="微软雅黑" w:hAnsi="微软雅黑" w:eastAsia="微软雅黑"/>
          <w:sz w:val="18"/>
          <w:szCs w:val="18"/>
        </w:rPr>
      </w:pPr>
    </w:p>
    <w:p w14:paraId="41E05086">
      <w:pPr>
        <w:ind w:left="-1800" w:right="-1800"/>
        <w:jc w:val="center"/>
        <w:rPr>
          <w:rFonts w:hint="eastAsia" w:ascii="黑体" w:hAnsi="黑体" w:eastAsia="黑体"/>
          <w:sz w:val="28"/>
          <w:szCs w:val="28"/>
        </w:rPr>
      </w:pPr>
      <w:r>
        <w:rPr>
          <w:rFonts w:hint="eastAsia" w:ascii="方正小标宋简体" w:eastAsia="方正小标宋简体"/>
          <w:spacing w:val="20"/>
          <w:sz w:val="44"/>
          <w:szCs w:val="44"/>
        </w:rPr>
        <w:t>中国药膳研究会</w:t>
      </w:r>
      <w:r>
        <w:rPr>
          <w:rFonts w:hint="eastAsia" w:ascii="黑体" w:hAnsi="黑体" w:eastAsia="黑体"/>
          <w:sz w:val="28"/>
          <w:szCs w:val="28"/>
        </w:rPr>
        <w:t xml:space="preserve">  发布</w:t>
      </w:r>
    </w:p>
    <w:p w14:paraId="5AD923CB">
      <w:pPr>
        <w:rPr>
          <w:rFonts w:hint="eastAsia" w:ascii="黑体" w:hAnsi="黑体" w:eastAsia="黑体"/>
          <w:sz w:val="28"/>
          <w:szCs w:val="28"/>
        </w:rPr>
      </w:pPr>
      <w:r>
        <w:rPr>
          <w:rFonts w:hint="eastAsia" w:ascii="黑体" w:hAnsi="黑体" w:eastAsia="黑体"/>
          <w:sz w:val="28"/>
          <w:szCs w:val="28"/>
        </w:rPr>
        <w:br w:type="page"/>
      </w:r>
    </w:p>
    <w:p w14:paraId="34546210">
      <w:pPr>
        <w:ind w:left="-1800" w:right="-1800"/>
        <w:jc w:val="center"/>
        <w:rPr>
          <w:rFonts w:ascii="Times New Roman" w:hAnsi="Times New Roman" w:eastAsia="宋体"/>
          <w:sz w:val="44"/>
          <w:szCs w:val="44"/>
        </w:rPr>
      </w:pPr>
      <w:r>
        <w:rPr>
          <w:rFonts w:ascii="Times New Roman" w:hAnsi="Times New Roman" w:eastAsia="宋体"/>
          <w:sz w:val="44"/>
          <w:szCs w:val="44"/>
        </w:rPr>
        <w:t>目录</w:t>
      </w:r>
    </w:p>
    <w:p w14:paraId="203706A9">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一、任务来源</w:t>
      </w:r>
    </w:p>
    <w:p w14:paraId="26C71C0E">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二、工作组简况</w:t>
      </w:r>
    </w:p>
    <w:p w14:paraId="3626451E">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（一）本指南起草单位</w:t>
      </w:r>
    </w:p>
    <w:p w14:paraId="36E5742A">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（二）本规范主要起草人</w:t>
      </w:r>
    </w:p>
    <w:p w14:paraId="57BA967F">
      <w:pPr>
        <w:ind w:firstLine="560" w:firstLineChars="200"/>
        <w:rPr>
          <w:rFonts w:hint="eastAsia" w:ascii="Times New Roman" w:hAnsi="Times New Roman" w:eastAsia="宋体"/>
          <w:sz w:val="28"/>
          <w:szCs w:val="28"/>
          <w:highlight w:val="none"/>
        </w:rPr>
      </w:pPr>
      <w:r>
        <w:rPr>
          <w:rFonts w:hint="eastAsia" w:ascii="Times New Roman" w:hAnsi="Times New Roman" w:eastAsia="宋体"/>
          <w:sz w:val="28"/>
          <w:szCs w:val="28"/>
          <w:highlight w:val="none"/>
        </w:rPr>
        <w:t>三、主要实施过程</w:t>
      </w:r>
    </w:p>
    <w:p w14:paraId="0573DDE9">
      <w:pPr>
        <w:ind w:firstLine="560" w:firstLineChars="200"/>
        <w:rPr>
          <w:rFonts w:hint="eastAsia" w:ascii="Times New Roman" w:hAnsi="Times New Roman" w:eastAsia="宋体"/>
          <w:sz w:val="28"/>
          <w:szCs w:val="28"/>
          <w:highlight w:val="none"/>
        </w:rPr>
      </w:pPr>
      <w:r>
        <w:rPr>
          <w:rFonts w:hint="eastAsia" w:ascii="Times New Roman" w:hAnsi="Times New Roman" w:eastAsia="宋体"/>
          <w:sz w:val="28"/>
          <w:szCs w:val="28"/>
          <w:highlight w:val="none"/>
        </w:rPr>
        <w:t>（一）</w:t>
      </w:r>
      <w:r>
        <w:rPr>
          <w:rFonts w:hint="eastAsia" w:ascii="Times New Roman" w:hAnsi="Times New Roman" w:eastAsia="宋体"/>
          <w:sz w:val="28"/>
          <w:szCs w:val="28"/>
          <w:highlight w:val="none"/>
          <w:lang w:val="en-US" w:eastAsia="zh-CN"/>
        </w:rPr>
        <w:t>立项</w:t>
      </w:r>
      <w:r>
        <w:rPr>
          <w:rFonts w:hint="eastAsia" w:ascii="Times New Roman" w:hAnsi="Times New Roman" w:eastAsia="宋体"/>
          <w:sz w:val="28"/>
          <w:szCs w:val="28"/>
          <w:highlight w:val="none"/>
        </w:rPr>
        <w:t>阶段</w:t>
      </w:r>
    </w:p>
    <w:p w14:paraId="69C29CDA">
      <w:pPr>
        <w:ind w:firstLine="560" w:firstLineChars="200"/>
        <w:rPr>
          <w:rFonts w:hint="eastAsia" w:ascii="Times New Roman" w:hAnsi="Times New Roman" w:eastAsia="宋体"/>
          <w:sz w:val="28"/>
          <w:szCs w:val="28"/>
          <w:highlight w:val="none"/>
        </w:rPr>
      </w:pPr>
      <w:r>
        <w:rPr>
          <w:rFonts w:hint="eastAsia" w:ascii="Times New Roman" w:hAnsi="Times New Roman" w:eastAsia="宋体"/>
          <w:sz w:val="28"/>
          <w:szCs w:val="28"/>
          <w:highlight w:val="none"/>
        </w:rPr>
        <w:t>（二）</w:t>
      </w:r>
      <w:r>
        <w:rPr>
          <w:rFonts w:hint="eastAsia" w:ascii="Times New Roman" w:hAnsi="Times New Roman" w:eastAsia="宋体"/>
          <w:sz w:val="28"/>
          <w:szCs w:val="28"/>
          <w:highlight w:val="none"/>
          <w:lang w:val="en-US" w:eastAsia="zh-CN"/>
        </w:rPr>
        <w:t>起草</w:t>
      </w:r>
      <w:r>
        <w:rPr>
          <w:rFonts w:hint="eastAsia" w:ascii="Times New Roman" w:hAnsi="Times New Roman" w:eastAsia="宋体"/>
          <w:sz w:val="28"/>
          <w:szCs w:val="28"/>
          <w:highlight w:val="none"/>
        </w:rPr>
        <w:t>阶段</w:t>
      </w:r>
    </w:p>
    <w:p w14:paraId="549FC0CD">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四、技术指南编制的原则</w:t>
      </w:r>
    </w:p>
    <w:p w14:paraId="3B9CB13C">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五、技术指南的具体内容</w:t>
      </w:r>
    </w:p>
    <w:p w14:paraId="15E5CFB3">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（一）本指南的主要结构</w:t>
      </w:r>
    </w:p>
    <w:p w14:paraId="26CDB5EE">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（二）技术指南的主要内容</w:t>
      </w:r>
    </w:p>
    <w:p w14:paraId="4D5C3961">
      <w:pPr>
        <w:ind w:firstLine="560" w:firstLineChars="200"/>
        <w:rPr>
          <w:rFonts w:ascii="Times New Roman" w:hAnsi="Times New Roman" w:eastAsia="宋体"/>
          <w:sz w:val="28"/>
          <w:szCs w:val="28"/>
          <w:highlight w:val="none"/>
        </w:rPr>
      </w:pPr>
      <w:r>
        <w:rPr>
          <w:rFonts w:hint="eastAsia" w:ascii="Times New Roman" w:hAnsi="Times New Roman" w:eastAsia="宋体"/>
          <w:sz w:val="28"/>
          <w:szCs w:val="28"/>
          <w:highlight w:val="none"/>
        </w:rPr>
        <w:t>六、重大意见和困难的处理经过</w:t>
      </w:r>
    </w:p>
    <w:p w14:paraId="6C18E68A">
      <w:pPr>
        <w:ind w:firstLine="560" w:firstLineChars="200"/>
        <w:rPr>
          <w:rFonts w:ascii="Times New Roman" w:hAnsi="Times New Roman" w:eastAsia="宋体"/>
          <w:sz w:val="28"/>
          <w:szCs w:val="28"/>
          <w:highlight w:val="yellow"/>
        </w:rPr>
      </w:pPr>
      <w:r>
        <w:rPr>
          <w:rFonts w:hint="eastAsia" w:ascii="Times New Roman" w:hAnsi="Times New Roman" w:eastAsia="宋体"/>
          <w:sz w:val="28"/>
          <w:szCs w:val="28"/>
          <w:highlight w:val="none"/>
        </w:rPr>
        <w:t>七、与相关法律、版权等的声明</w:t>
      </w:r>
    </w:p>
    <w:p w14:paraId="474EA95F">
      <w:pPr>
        <w:widowControl/>
        <w:jc w:val="left"/>
        <w:rPr>
          <w:rFonts w:ascii="Times New Roman" w:hAnsi="Times New Roman" w:eastAsia="宋体"/>
          <w:sz w:val="28"/>
          <w:szCs w:val="28"/>
        </w:rPr>
      </w:pPr>
      <w:r>
        <w:rPr>
          <w:rFonts w:ascii="Times New Roman" w:hAnsi="Times New Roman" w:eastAsia="宋体"/>
          <w:sz w:val="28"/>
          <w:szCs w:val="28"/>
        </w:rPr>
        <w:br w:type="page"/>
      </w:r>
    </w:p>
    <w:p w14:paraId="68A13B31">
      <w:pPr>
        <w:widowControl/>
        <w:numPr>
          <w:ilvl w:val="0"/>
          <w:numId w:val="2"/>
        </w:numPr>
        <w:spacing w:line="360" w:lineRule="auto"/>
        <w:jc w:val="left"/>
        <w:rPr>
          <w:rFonts w:hint="eastAsia" w:ascii="Times New Roman" w:hAnsi="Times New Roman" w:eastAsia="宋体" w:cs="仿宋_GB2312"/>
          <w:b/>
          <w:bCs/>
          <w:sz w:val="32"/>
          <w:szCs w:val="32"/>
        </w:rPr>
      </w:pPr>
      <w:r>
        <w:rPr>
          <w:rFonts w:hint="eastAsia" w:ascii="Times New Roman" w:hAnsi="Times New Roman" w:eastAsia="宋体" w:cs="仿宋_GB2312"/>
          <w:b/>
          <w:bCs/>
          <w:sz w:val="32"/>
          <w:szCs w:val="32"/>
        </w:rPr>
        <w:t>任务来源</w:t>
      </w:r>
    </w:p>
    <w:p w14:paraId="0BF634D7">
      <w:pPr>
        <w:ind w:firstLine="560" w:firstLineChars="200"/>
        <w:rPr>
          <w:rFonts w:hint="eastAsia" w:ascii="Times New Roman" w:hAnsi="Times New Roman" w:eastAsia="宋体" w:cs="仿宋_GB2312"/>
          <w:kern w:val="0"/>
          <w:sz w:val="28"/>
          <w:szCs w:val="28"/>
          <w:lang w:val="en-US" w:eastAsia="zh-CN"/>
        </w:rPr>
      </w:pPr>
      <w:r>
        <w:rPr>
          <w:rFonts w:hint="eastAsia" w:ascii="Times New Roman" w:hAnsi="Times New Roman" w:eastAsia="宋体" w:cs="仿宋_GB2312"/>
          <w:kern w:val="0"/>
          <w:sz w:val="28"/>
          <w:szCs w:val="28"/>
          <w:lang w:val="en-US" w:eastAsia="zh-CN"/>
        </w:rPr>
        <w:t>银川金杞源枸杞有限公司制作鸿杞虹运草本半甜型红酒，由北方民族大学宁夏葡萄与葡萄酒技术创新中心进行技术监制，由中国药膳研究会进行配方审核</w:t>
      </w:r>
      <w:r>
        <w:rPr>
          <w:rFonts w:hint="eastAsia" w:ascii="Times New Roman" w:hAnsi="Times New Roman" w:eastAsia="宋体" w:cs="仿宋_GB2312"/>
          <w:kern w:val="0"/>
          <w:sz w:val="28"/>
          <w:szCs w:val="28"/>
          <w:lang w:val="en-US" w:eastAsia="zh-CN"/>
        </w:rPr>
        <w:t>，为本指南的制定奠定了坚实的基础。为进一步规范项目流程，推动枸杞红酒行业的标准化发展，银川金杞源枸杞有限公司委托中国中医科学院中医临床基础医学研究所，向中国药膳研究会提交了项目立项申请。该项目已于2023年6月经中国药膳研究会正式批准立项，并予以公告，项目编号为ZGYSYJHL-2023〔002〕。</w:t>
      </w:r>
    </w:p>
    <w:p w14:paraId="2E25D133">
      <w:pPr>
        <w:widowControl/>
        <w:spacing w:line="360" w:lineRule="auto"/>
        <w:jc w:val="left"/>
        <w:rPr>
          <w:rFonts w:ascii="Times New Roman" w:hAnsi="Times New Roman" w:eastAsia="宋体" w:cs="仿宋_GB2312"/>
          <w:b/>
          <w:bCs/>
          <w:sz w:val="32"/>
          <w:szCs w:val="32"/>
        </w:rPr>
      </w:pPr>
      <w:r>
        <w:rPr>
          <w:rFonts w:hint="eastAsia" w:ascii="Times New Roman" w:hAnsi="Times New Roman" w:eastAsia="宋体" w:cs="仿宋_GB2312"/>
          <w:b/>
          <w:bCs/>
          <w:sz w:val="32"/>
          <w:szCs w:val="32"/>
        </w:rPr>
        <w:t>二、工作组简况</w:t>
      </w:r>
    </w:p>
    <w:p w14:paraId="130D4C90">
      <w:pPr>
        <w:pStyle w:val="15"/>
        <w:spacing w:before="0" w:line="360" w:lineRule="auto"/>
        <w:ind w:firstLine="602" w:firstLineChars="200"/>
        <w:jc w:val="both"/>
        <w:rPr>
          <w:rFonts w:eastAsia="宋体" w:cs="仿宋_GB2312"/>
          <w:b/>
          <w:bCs/>
          <w:sz w:val="30"/>
          <w:szCs w:val="30"/>
        </w:rPr>
      </w:pPr>
      <w:r>
        <w:rPr>
          <w:rFonts w:hint="eastAsia" w:eastAsia="宋体" w:cs="仿宋_GB2312"/>
          <w:b/>
          <w:bCs/>
          <w:sz w:val="30"/>
          <w:szCs w:val="30"/>
        </w:rPr>
        <w:t>（一）本指南起草单位：</w:t>
      </w:r>
    </w:p>
    <w:p w14:paraId="16ED8803">
      <w:pPr>
        <w:pStyle w:val="15"/>
        <w:spacing w:before="0" w:line="360" w:lineRule="auto"/>
        <w:ind w:firstLine="560" w:firstLineChars="200"/>
        <w:jc w:val="both"/>
        <w:rPr>
          <w:rFonts w:eastAsia="宋体" w:cs="仿宋_GB2312"/>
        </w:rPr>
      </w:pPr>
    </w:p>
    <w:p w14:paraId="759C2750">
      <w:pPr>
        <w:pStyle w:val="15"/>
        <w:spacing w:before="0" w:line="360" w:lineRule="auto"/>
        <w:ind w:firstLine="602" w:firstLineChars="200"/>
        <w:jc w:val="both"/>
        <w:rPr>
          <w:rFonts w:eastAsia="宋体" w:cs="仿宋_GB2312"/>
          <w:b/>
          <w:bCs/>
          <w:sz w:val="30"/>
          <w:szCs w:val="30"/>
        </w:rPr>
      </w:pPr>
      <w:r>
        <w:rPr>
          <w:rFonts w:hint="eastAsia" w:eastAsia="宋体" w:cs="仿宋_GB2312"/>
          <w:b/>
          <w:bCs/>
          <w:sz w:val="30"/>
          <w:szCs w:val="30"/>
        </w:rPr>
        <w:t>（二）本规范主要起草人：</w:t>
      </w:r>
    </w:p>
    <w:p w14:paraId="03C97177">
      <w:pPr>
        <w:pStyle w:val="15"/>
        <w:spacing w:before="0" w:line="360" w:lineRule="auto"/>
        <w:ind w:firstLine="560" w:firstLineChars="200"/>
        <w:jc w:val="both"/>
        <w:rPr>
          <w:rFonts w:eastAsia="宋体" w:cs="仿宋_GB2312"/>
        </w:rPr>
      </w:pPr>
    </w:p>
    <w:p w14:paraId="48FEEABC">
      <w:pPr>
        <w:pStyle w:val="15"/>
        <w:spacing w:before="0" w:line="360" w:lineRule="auto"/>
        <w:jc w:val="both"/>
        <w:rPr>
          <w:rFonts w:eastAsia="宋体" w:cs="仿宋_GB2312"/>
          <w:b/>
          <w:bCs/>
          <w:sz w:val="30"/>
          <w:szCs w:val="30"/>
        </w:rPr>
      </w:pPr>
      <w:r>
        <w:rPr>
          <w:rFonts w:hint="eastAsia" w:eastAsia="宋体" w:cs="仿宋_GB2312"/>
          <w:b/>
          <w:bCs/>
          <w:sz w:val="30"/>
          <w:szCs w:val="30"/>
        </w:rPr>
        <w:t>三、主要实施过程</w:t>
      </w:r>
    </w:p>
    <w:p w14:paraId="65AAAAB1">
      <w:pPr>
        <w:pStyle w:val="15"/>
        <w:spacing w:before="0" w:line="360" w:lineRule="auto"/>
        <w:ind w:firstLine="600" w:firstLineChars="200"/>
        <w:jc w:val="both"/>
        <w:rPr>
          <w:rFonts w:hint="eastAsia" w:eastAsia="宋体" w:cs="仿宋_GB2312"/>
          <w:sz w:val="30"/>
          <w:szCs w:val="30"/>
        </w:rPr>
      </w:pPr>
      <w:r>
        <w:rPr>
          <w:rFonts w:hint="eastAsia" w:eastAsia="宋体" w:cs="仿宋_GB2312"/>
          <w:sz w:val="30"/>
          <w:szCs w:val="30"/>
        </w:rPr>
        <w:t>（一）</w:t>
      </w:r>
      <w:r>
        <w:rPr>
          <w:rFonts w:hint="eastAsia" w:eastAsia="宋体" w:cs="仿宋_GB2312"/>
          <w:sz w:val="30"/>
          <w:szCs w:val="30"/>
          <w:lang w:val="en-US" w:eastAsia="zh-CN"/>
        </w:rPr>
        <w:t>立项</w:t>
      </w:r>
      <w:r>
        <w:rPr>
          <w:rFonts w:hint="eastAsia" w:eastAsia="宋体" w:cs="仿宋_GB2312"/>
          <w:sz w:val="30"/>
          <w:szCs w:val="30"/>
        </w:rPr>
        <w:t>阶段</w:t>
      </w:r>
    </w:p>
    <w:p w14:paraId="1A646C71">
      <w:pPr>
        <w:pStyle w:val="15"/>
        <w:spacing w:before="0" w:line="360" w:lineRule="auto"/>
        <w:ind w:firstLine="560" w:firstLineChars="200"/>
        <w:jc w:val="both"/>
        <w:rPr>
          <w:rFonts w:hint="eastAsia" w:eastAsia="宋体" w:cs="仿宋_GB2312"/>
        </w:rPr>
      </w:pPr>
      <w:r>
        <w:rPr>
          <w:rFonts w:hint="eastAsia" w:eastAsia="宋体" w:cs="仿宋_GB2312"/>
        </w:rPr>
        <w:t>202</w:t>
      </w:r>
      <w:r>
        <w:rPr>
          <w:rFonts w:hint="eastAsia" w:eastAsia="宋体" w:cs="仿宋_GB2312"/>
          <w:lang w:val="en-US" w:eastAsia="zh-CN"/>
        </w:rPr>
        <w:t>3</w:t>
      </w:r>
      <w:r>
        <w:rPr>
          <w:rFonts w:hint="eastAsia" w:eastAsia="宋体" w:cs="仿宋_GB2312"/>
        </w:rPr>
        <w:t>年</w:t>
      </w:r>
      <w:r>
        <w:rPr>
          <w:rFonts w:hint="eastAsia" w:eastAsia="宋体" w:cs="仿宋_GB2312"/>
          <w:lang w:val="en-US" w:eastAsia="zh-CN"/>
        </w:rPr>
        <w:t>6</w:t>
      </w:r>
      <w:r>
        <w:rPr>
          <w:rFonts w:hint="eastAsia" w:eastAsia="宋体" w:cs="仿宋_GB2312"/>
        </w:rPr>
        <w:t>月项目组向中国药膳研究会提交立项申请</w:t>
      </w:r>
      <w:r>
        <w:rPr>
          <w:rFonts w:hint="eastAsia" w:eastAsia="宋体" w:cs="仿宋_GB2312"/>
          <w:lang w:eastAsia="zh-CN"/>
        </w:rPr>
        <w:t>，</w:t>
      </w:r>
      <w:r>
        <w:rPr>
          <w:rFonts w:hint="eastAsia" w:eastAsia="宋体" w:cs="仿宋_GB2312"/>
          <w:lang w:val="en-US" w:eastAsia="zh-CN"/>
        </w:rPr>
        <w:t>并通过</w:t>
      </w:r>
      <w:r>
        <w:rPr>
          <w:rFonts w:hint="eastAsia" w:eastAsia="宋体" w:cs="仿宋_GB2312"/>
        </w:rPr>
        <w:t>团标项目提案审评会，2021年</w:t>
      </w:r>
      <w:r>
        <w:rPr>
          <w:rFonts w:hint="eastAsia" w:eastAsia="宋体" w:cs="仿宋_GB2312"/>
          <w:lang w:val="en-US" w:eastAsia="zh-CN"/>
        </w:rPr>
        <w:t>11</w:t>
      </w:r>
      <w:r>
        <w:rPr>
          <w:rFonts w:hint="eastAsia" w:eastAsia="宋体" w:cs="仿宋_GB2312"/>
        </w:rPr>
        <w:t>月《妊娠期妇女食养药膳技术指南》</w:t>
      </w:r>
      <w:r>
        <w:rPr>
          <w:rFonts w:hint="eastAsia" w:eastAsia="宋体" w:cs="仿宋_GB2312"/>
          <w:lang w:val="en-US" w:eastAsia="zh-CN"/>
        </w:rPr>
        <w:t>由</w:t>
      </w:r>
      <w:r>
        <w:rPr>
          <w:rFonts w:hint="eastAsia" w:eastAsia="宋体" w:cs="仿宋_GB2312"/>
        </w:rPr>
        <w:t>中国药膳研究会团体标准课题立项（项目立项编号：ZGYSYJHS-2021{003}）。</w:t>
      </w:r>
    </w:p>
    <w:p w14:paraId="01CDF01B">
      <w:pPr>
        <w:pStyle w:val="15"/>
        <w:spacing w:before="0" w:line="360" w:lineRule="auto"/>
        <w:ind w:firstLine="600" w:firstLineChars="200"/>
        <w:jc w:val="both"/>
        <w:rPr>
          <w:rFonts w:hint="eastAsia" w:eastAsia="宋体" w:cs="仿宋_GB2312"/>
          <w:sz w:val="30"/>
          <w:szCs w:val="30"/>
        </w:rPr>
      </w:pPr>
      <w:r>
        <w:rPr>
          <w:rFonts w:hint="eastAsia" w:eastAsia="宋体" w:cs="仿宋_GB2312"/>
          <w:sz w:val="30"/>
          <w:szCs w:val="30"/>
        </w:rPr>
        <w:t>（</w:t>
      </w:r>
      <w:r>
        <w:rPr>
          <w:rFonts w:hint="eastAsia" w:eastAsia="宋体" w:cs="仿宋_GB2312"/>
          <w:sz w:val="30"/>
          <w:szCs w:val="30"/>
          <w:lang w:val="en-US" w:eastAsia="zh-CN"/>
        </w:rPr>
        <w:t>二</w:t>
      </w:r>
      <w:r>
        <w:rPr>
          <w:rFonts w:hint="eastAsia" w:eastAsia="宋体" w:cs="仿宋_GB2312"/>
          <w:sz w:val="30"/>
          <w:szCs w:val="30"/>
        </w:rPr>
        <w:t>）</w:t>
      </w:r>
      <w:r>
        <w:rPr>
          <w:rFonts w:hint="eastAsia" w:eastAsia="宋体" w:cs="仿宋_GB2312"/>
          <w:sz w:val="30"/>
          <w:szCs w:val="30"/>
          <w:lang w:val="en-US" w:eastAsia="zh-CN"/>
        </w:rPr>
        <w:t>起草</w:t>
      </w:r>
      <w:r>
        <w:rPr>
          <w:rFonts w:hint="eastAsia" w:eastAsia="宋体" w:cs="仿宋_GB2312"/>
          <w:sz w:val="30"/>
          <w:szCs w:val="30"/>
        </w:rPr>
        <w:t>阶段</w:t>
      </w:r>
    </w:p>
    <w:p w14:paraId="5A10B573">
      <w:pPr>
        <w:pStyle w:val="15"/>
        <w:spacing w:before="0" w:line="360" w:lineRule="auto"/>
        <w:ind w:firstLine="560" w:firstLineChars="200"/>
        <w:jc w:val="both"/>
        <w:rPr>
          <w:rFonts w:hint="eastAsia" w:eastAsia="宋体" w:cs="仿宋_GB2312"/>
        </w:rPr>
      </w:pPr>
      <w:r>
        <w:rPr>
          <w:rFonts w:hint="eastAsia" w:eastAsia="宋体" w:cs="仿宋_GB2312"/>
        </w:rPr>
        <w:t>从</w:t>
      </w:r>
      <w:r>
        <w:rPr>
          <w:rFonts w:hint="eastAsia" w:eastAsia="宋体" w:cs="仿宋_GB2312"/>
          <w:highlight w:val="none"/>
        </w:rPr>
        <w:t>20</w:t>
      </w:r>
      <w:r>
        <w:rPr>
          <w:rFonts w:hint="eastAsia" w:eastAsia="宋体" w:cs="仿宋_GB2312"/>
          <w:highlight w:val="none"/>
          <w:lang w:val="en-US" w:eastAsia="zh-CN"/>
        </w:rPr>
        <w:t>23</w:t>
      </w:r>
      <w:r>
        <w:rPr>
          <w:rFonts w:hint="eastAsia" w:eastAsia="宋体" w:cs="仿宋_GB2312"/>
          <w:highlight w:val="none"/>
        </w:rPr>
        <w:t>年</w:t>
      </w:r>
      <w:r>
        <w:rPr>
          <w:rFonts w:hint="eastAsia" w:eastAsia="宋体" w:cs="仿宋_GB2312"/>
          <w:highlight w:val="none"/>
          <w:lang w:val="en-US" w:eastAsia="zh-CN"/>
        </w:rPr>
        <w:t>6</w:t>
      </w:r>
      <w:r>
        <w:rPr>
          <w:rFonts w:hint="eastAsia" w:eastAsia="宋体" w:cs="仿宋_GB2312"/>
          <w:highlight w:val="none"/>
        </w:rPr>
        <w:t>月</w:t>
      </w:r>
      <w:r>
        <w:rPr>
          <w:rFonts w:hint="eastAsia" w:eastAsia="宋体" w:cs="仿宋_GB2312"/>
          <w:highlight w:val="none"/>
          <w:lang w:val="en-US" w:eastAsia="zh-CN"/>
        </w:rPr>
        <w:t>8</w:t>
      </w:r>
      <w:r>
        <w:rPr>
          <w:rFonts w:hint="eastAsia" w:eastAsia="宋体" w:cs="仿宋_GB2312"/>
        </w:rPr>
        <w:t>日开始，课题起草组成员共开展了</w:t>
      </w:r>
      <w:r>
        <w:rPr>
          <w:rFonts w:hint="eastAsia" w:eastAsia="宋体" w:cs="仿宋_GB2312"/>
          <w:highlight w:val="none"/>
          <w:lang w:val="en-US" w:eastAsia="zh-CN"/>
        </w:rPr>
        <w:t>3</w:t>
      </w:r>
      <w:r>
        <w:rPr>
          <w:rFonts w:hint="eastAsia" w:eastAsia="宋体" w:cs="仿宋_GB2312"/>
        </w:rPr>
        <w:t>次会议，分别为</w:t>
      </w:r>
      <w:r>
        <w:rPr>
          <w:rFonts w:hint="eastAsia" w:eastAsia="宋体" w:cs="仿宋_GB2312"/>
          <w:highlight w:val="none"/>
        </w:rPr>
        <w:t>20</w:t>
      </w:r>
      <w:r>
        <w:rPr>
          <w:rFonts w:hint="eastAsia" w:eastAsia="宋体" w:cs="仿宋_GB2312"/>
          <w:highlight w:val="none"/>
          <w:lang w:val="en-US" w:eastAsia="zh-CN"/>
        </w:rPr>
        <w:t>23</w:t>
      </w:r>
      <w:r>
        <w:rPr>
          <w:rFonts w:hint="eastAsia" w:eastAsia="宋体" w:cs="仿宋_GB2312"/>
          <w:highlight w:val="none"/>
        </w:rPr>
        <w:t>年</w:t>
      </w:r>
      <w:r>
        <w:rPr>
          <w:rFonts w:hint="eastAsia" w:eastAsia="宋体" w:cs="仿宋_GB2312"/>
          <w:highlight w:val="none"/>
          <w:lang w:val="en-US" w:eastAsia="zh-CN"/>
        </w:rPr>
        <w:t>12</w:t>
      </w:r>
      <w:r>
        <w:rPr>
          <w:rFonts w:hint="eastAsia" w:eastAsia="宋体" w:cs="仿宋_GB2312"/>
          <w:highlight w:val="none"/>
        </w:rPr>
        <w:t>月</w:t>
      </w:r>
      <w:r>
        <w:rPr>
          <w:rFonts w:hint="eastAsia" w:eastAsia="宋体" w:cs="仿宋_GB2312"/>
          <w:highlight w:val="none"/>
          <w:lang w:val="en-US" w:eastAsia="zh-CN"/>
        </w:rPr>
        <w:t>30</w:t>
      </w:r>
      <w:r>
        <w:rPr>
          <w:rFonts w:hint="eastAsia" w:eastAsia="宋体" w:cs="仿宋_GB2312"/>
        </w:rPr>
        <w:t>日</w:t>
      </w:r>
      <w:r>
        <w:rPr>
          <w:rFonts w:hint="eastAsia" w:eastAsia="宋体" w:cs="仿宋_GB2312"/>
          <w:lang w:val="en-US" w:eastAsia="zh-CN"/>
        </w:rPr>
        <w:t>、2024</w:t>
      </w:r>
      <w:r>
        <w:rPr>
          <w:rFonts w:hint="eastAsia" w:eastAsia="宋体" w:cs="仿宋_GB2312"/>
        </w:rPr>
        <w:t>年</w:t>
      </w:r>
      <w:r>
        <w:rPr>
          <w:rFonts w:hint="eastAsia" w:eastAsia="宋体" w:cs="仿宋_GB2312"/>
          <w:lang w:val="en-US" w:eastAsia="zh-CN"/>
        </w:rPr>
        <w:t>9</w:t>
      </w:r>
      <w:r>
        <w:rPr>
          <w:rFonts w:hint="eastAsia" w:eastAsia="宋体" w:cs="仿宋_GB2312"/>
        </w:rPr>
        <w:t>月</w:t>
      </w:r>
      <w:r>
        <w:rPr>
          <w:rFonts w:hint="eastAsia" w:eastAsia="宋体" w:cs="仿宋_GB2312"/>
          <w:lang w:val="en-US" w:eastAsia="zh-CN"/>
        </w:rPr>
        <w:t>23</w:t>
      </w:r>
      <w:r>
        <w:rPr>
          <w:rFonts w:hint="eastAsia" w:eastAsia="宋体" w:cs="仿宋_GB2312"/>
        </w:rPr>
        <w:t>日</w:t>
      </w:r>
      <w:r>
        <w:rPr>
          <w:rFonts w:hint="eastAsia" w:eastAsia="宋体" w:cs="仿宋_GB2312"/>
          <w:lang w:eastAsia="zh-CN"/>
        </w:rPr>
        <w:t>、</w:t>
      </w:r>
      <w:r>
        <w:rPr>
          <w:rFonts w:hint="eastAsia" w:eastAsia="宋体" w:cs="仿宋_GB2312"/>
          <w:lang w:val="en-US" w:eastAsia="zh-CN"/>
        </w:rPr>
        <w:t>2024</w:t>
      </w:r>
      <w:r>
        <w:rPr>
          <w:rFonts w:hint="eastAsia" w:eastAsia="宋体" w:cs="仿宋_GB2312"/>
        </w:rPr>
        <w:t>年</w:t>
      </w:r>
      <w:r>
        <w:rPr>
          <w:rFonts w:hint="eastAsia" w:eastAsia="宋体" w:cs="仿宋_GB2312"/>
          <w:lang w:val="en-US" w:eastAsia="zh-CN"/>
        </w:rPr>
        <w:t>10</w:t>
      </w:r>
      <w:r>
        <w:rPr>
          <w:rFonts w:hint="eastAsia" w:eastAsia="宋体" w:cs="仿宋_GB2312"/>
        </w:rPr>
        <w:t>月</w:t>
      </w:r>
      <w:r>
        <w:rPr>
          <w:rFonts w:hint="eastAsia" w:eastAsia="宋体" w:cs="仿宋_GB2312"/>
          <w:lang w:val="en-US" w:eastAsia="zh-CN"/>
        </w:rPr>
        <w:t>28</w:t>
      </w:r>
      <w:r>
        <w:rPr>
          <w:rFonts w:hint="eastAsia" w:eastAsia="宋体" w:cs="仿宋_GB2312"/>
        </w:rPr>
        <w:t>日，成立了编制指导小组，主要有起草组、工作组、专家组，并安排各组的主要工作内容。起草组成员开始制定编写方案，并进行草案编写，工作组成员主要进行前期的调研访谈广征意见、文献检索以及指南的编写修改工作，专家组成员主要由本专业高级职称专家、药膳专家、资深餐饮厨师等行业权威人员构成。</w:t>
      </w:r>
    </w:p>
    <w:p w14:paraId="0196BA73">
      <w:pPr>
        <w:pStyle w:val="15"/>
        <w:spacing w:before="0" w:line="360" w:lineRule="auto"/>
        <w:ind w:firstLine="560" w:firstLineChars="200"/>
        <w:jc w:val="both"/>
        <w:rPr>
          <w:rFonts w:hint="default" w:eastAsia="宋体" w:cs="仿宋_GB2312"/>
          <w:lang w:val="en-US" w:eastAsia="zh-CN"/>
        </w:rPr>
      </w:pPr>
      <w:r>
        <w:rPr>
          <w:rFonts w:hint="eastAsia" w:eastAsia="宋体" w:cs="仿宋_GB2312"/>
          <w:lang w:val="en-US" w:eastAsia="zh-CN"/>
        </w:rPr>
        <w:t>1.文献研究</w:t>
      </w:r>
    </w:p>
    <w:p w14:paraId="0FCE807F">
      <w:pPr>
        <w:pStyle w:val="15"/>
        <w:spacing w:before="0" w:line="360" w:lineRule="auto"/>
        <w:ind w:firstLine="560" w:firstLineChars="200"/>
        <w:jc w:val="both"/>
        <w:rPr>
          <w:rFonts w:hint="default" w:eastAsia="宋体" w:cs="仿宋_GB2312"/>
          <w:lang w:val="en-US" w:eastAsia="zh-CN"/>
        </w:rPr>
      </w:pPr>
      <w:r>
        <w:rPr>
          <w:rFonts w:hint="eastAsia" w:eastAsia="宋体" w:cs="仿宋_GB2312"/>
          <w:lang w:val="en-US" w:eastAsia="zh-CN"/>
        </w:rPr>
        <w:t>起草阶段对现代文献、中华医典古代文献、药膳专著、教材等关于妊娠期食养药膳的内容按照所制定纳排标准进行检索查询。现代文献检索：通过主题检索法，在高级检索栏分别以“枸杞红酒 OR 枸杞酒”为检索公式，在CNKI、CBM、WF、VIP等中文数据库中检索建库至2024年11月收录的关于妊娠期妇女食养药膳的文献并下载全文，各库合并除重后结果共计200篇文献。并</w:t>
      </w:r>
      <w:r>
        <w:rPr>
          <w:rFonts w:hint="default" w:eastAsia="宋体" w:cs="仿宋_GB2312"/>
          <w:lang w:val="en-US" w:eastAsia="zh-CN"/>
        </w:rPr>
        <w:t>采用AMSTAR-2量表工具</w:t>
      </w:r>
      <w:r>
        <w:rPr>
          <w:rFonts w:hint="eastAsia" w:eastAsia="宋体" w:cs="仿宋_GB2312"/>
          <w:lang w:val="en-US" w:eastAsia="zh-CN"/>
        </w:rPr>
        <w:t>、</w:t>
      </w:r>
      <w:r>
        <w:rPr>
          <w:rFonts w:hint="default" w:eastAsia="宋体" w:cs="仿宋_GB2312"/>
          <w:lang w:val="en-US" w:eastAsia="zh-CN"/>
        </w:rPr>
        <w:t>Cochrane偏倚风险评价工具</w:t>
      </w:r>
      <w:r>
        <w:rPr>
          <w:rFonts w:hint="eastAsia" w:eastAsia="宋体" w:cs="仿宋_GB2312"/>
          <w:lang w:val="en-US" w:eastAsia="zh-CN"/>
        </w:rPr>
        <w:t>等对文献进行质量评价。</w:t>
      </w:r>
    </w:p>
    <w:p w14:paraId="4BCF28F5">
      <w:pPr>
        <w:pStyle w:val="15"/>
        <w:spacing w:before="0" w:line="360" w:lineRule="auto"/>
        <w:ind w:firstLine="560" w:firstLineChars="200"/>
        <w:jc w:val="both"/>
        <w:rPr>
          <w:rFonts w:hint="default" w:eastAsia="宋体" w:cs="仿宋_GB2312"/>
          <w:lang w:val="en-US" w:eastAsia="zh-CN"/>
        </w:rPr>
      </w:pPr>
      <w:r>
        <w:rPr>
          <w:rFonts w:hint="eastAsia" w:eastAsia="宋体" w:cs="仿宋_GB2312"/>
          <w:lang w:val="en-US" w:eastAsia="zh-CN"/>
        </w:rPr>
        <w:t>中华医典古代文献检索：以枸杞酒、枸杞红酒为检索词检索医经、诊法、本草、方书、针灸推拿、伤寒金匮、温病、综合医书、临证各科、养生食疗外治、医论医案、其他等中华医典中12大类文献条目，结果共计0条。</w:t>
      </w:r>
    </w:p>
    <w:p w14:paraId="3DD53313">
      <w:pPr>
        <w:pStyle w:val="15"/>
        <w:spacing w:before="0" w:line="360" w:lineRule="auto"/>
        <w:ind w:firstLine="560" w:firstLineChars="200"/>
        <w:jc w:val="both"/>
        <w:rPr>
          <w:rFonts w:hint="default" w:eastAsia="宋体" w:cs="仿宋_GB2312"/>
          <w:lang w:val="en-US" w:eastAsia="zh-CN"/>
        </w:rPr>
      </w:pPr>
      <w:r>
        <w:rPr>
          <w:rFonts w:hint="eastAsia" w:eastAsia="宋体" w:cs="仿宋_GB2312"/>
          <w:lang w:val="en-US" w:eastAsia="zh-CN"/>
        </w:rPr>
        <w:t>2.专家论证</w:t>
      </w:r>
    </w:p>
    <w:p w14:paraId="7B4A800B">
      <w:pPr>
        <w:pStyle w:val="15"/>
        <w:spacing w:before="0" w:line="360" w:lineRule="auto"/>
        <w:ind w:firstLine="560" w:firstLineChars="200"/>
        <w:jc w:val="both"/>
        <w:rPr>
          <w:rFonts w:hint="eastAsia" w:eastAsia="宋体" w:cs="仿宋_GB2312"/>
        </w:rPr>
      </w:pPr>
      <w:r>
        <w:rPr>
          <w:rFonts w:hint="eastAsia" w:eastAsia="宋体" w:cs="仿宋_GB2312"/>
          <w:lang w:val="en-US" w:eastAsia="zh-CN"/>
        </w:rPr>
        <w:t>内部专家</w:t>
      </w:r>
      <w:r>
        <w:rPr>
          <w:rFonts w:hint="eastAsia" w:eastAsia="宋体" w:cs="仿宋_GB2312"/>
        </w:rPr>
        <w:t>通过准备工作主要确定了本指南编写的主要工作流程</w:t>
      </w:r>
      <w:r>
        <w:rPr>
          <w:rFonts w:hint="eastAsia" w:eastAsia="宋体" w:cs="仿宋_GB2312"/>
          <w:lang w:val="en-US" w:eastAsia="zh-CN"/>
        </w:rPr>
        <w:t>与内容</w:t>
      </w:r>
      <w:r>
        <w:rPr>
          <w:rFonts w:hint="eastAsia" w:eastAsia="宋体" w:cs="仿宋_GB2312"/>
        </w:rPr>
        <w:t>，</w:t>
      </w:r>
      <w:r>
        <w:rPr>
          <w:rFonts w:hint="eastAsia" w:eastAsia="宋体" w:cs="仿宋_GB2312"/>
          <w:lang w:val="en-US" w:eastAsia="zh-CN"/>
        </w:rPr>
        <w:t>指南主要参考《</w:t>
      </w:r>
      <w:r>
        <w:rPr>
          <w:rFonts w:hint="eastAsia" w:eastAsia="宋体" w:cs="仿宋_GB2312"/>
        </w:rPr>
        <w:t>GB 10344 预包装饮料酒标签通则</w:t>
      </w:r>
      <w:r>
        <w:rPr>
          <w:rFonts w:hint="eastAsia" w:eastAsia="宋体" w:cs="仿宋_GB2312"/>
          <w:lang w:val="en-US" w:eastAsia="zh-CN"/>
        </w:rPr>
        <w:t>》</w:t>
      </w:r>
      <w:r>
        <w:rPr>
          <w:rFonts w:hint="eastAsia" w:eastAsia="宋体" w:cs="仿宋_GB2312"/>
          <w:lang w:eastAsia="zh-CN"/>
        </w:rPr>
        <w:t>《</w:t>
      </w:r>
      <w:r>
        <w:rPr>
          <w:rFonts w:hint="eastAsia" w:eastAsia="宋体" w:cs="仿宋_GB2312"/>
        </w:rPr>
        <w:t>GB/T 15038 葡萄酒、果酒通用分析方法</w:t>
      </w:r>
      <w:r>
        <w:rPr>
          <w:rFonts w:hint="eastAsia" w:eastAsia="宋体" w:cs="仿宋_GB2312"/>
          <w:lang w:eastAsia="zh-CN"/>
        </w:rPr>
        <w:t>》《</w:t>
      </w:r>
      <w:r>
        <w:rPr>
          <w:rFonts w:hint="eastAsia" w:eastAsia="宋体" w:cs="仿宋_GB2312"/>
        </w:rPr>
        <w:t>JJF 1070 定量包装商品净含量计量检验规则</w:t>
      </w:r>
      <w:r>
        <w:rPr>
          <w:rFonts w:hint="eastAsia" w:eastAsia="宋体" w:cs="仿宋_GB2312"/>
          <w:lang w:eastAsia="zh-CN"/>
        </w:rPr>
        <w:t>》《</w:t>
      </w:r>
      <w:r>
        <w:rPr>
          <w:rFonts w:hint="eastAsia" w:eastAsia="宋体" w:cs="仿宋_GB2312"/>
        </w:rPr>
        <w:t>GB 12697-1990  果酒厂卫生规范</w:t>
      </w:r>
      <w:r>
        <w:rPr>
          <w:rFonts w:hint="eastAsia" w:eastAsia="宋体" w:cs="仿宋_GB2312"/>
          <w:lang w:eastAsia="zh-CN"/>
        </w:rPr>
        <w:t>》《</w:t>
      </w:r>
      <w:r>
        <w:rPr>
          <w:rFonts w:hint="eastAsia" w:eastAsia="宋体" w:cs="仿宋_GB2312"/>
        </w:rPr>
        <w:t>GB 14881-1994  食品企业通用卫生规范</w:t>
      </w:r>
      <w:r>
        <w:rPr>
          <w:rFonts w:hint="eastAsia" w:eastAsia="宋体" w:cs="仿宋_GB2312"/>
          <w:lang w:eastAsia="zh-CN"/>
        </w:rPr>
        <w:t>》</w:t>
      </w:r>
      <w:r>
        <w:rPr>
          <w:rFonts w:hint="eastAsia" w:eastAsia="宋体" w:cs="仿宋_GB2312"/>
          <w:lang w:val="en-US" w:eastAsia="zh-CN"/>
        </w:rPr>
        <w:t>等标准规范</w:t>
      </w:r>
      <w:r>
        <w:rPr>
          <w:rFonts w:hint="eastAsia" w:eastAsia="宋体" w:cs="仿宋_GB2312"/>
        </w:rPr>
        <w:t>，并严格遵循实用性、科学性、可行性的原则执行。从20</w:t>
      </w:r>
      <w:r>
        <w:rPr>
          <w:rFonts w:hint="eastAsia" w:eastAsia="宋体" w:cs="仿宋_GB2312"/>
          <w:lang w:val="en-US" w:eastAsia="zh-CN"/>
        </w:rPr>
        <w:t>23</w:t>
      </w:r>
      <w:r>
        <w:rPr>
          <w:rFonts w:hint="eastAsia" w:eastAsia="宋体" w:cs="仿宋_GB2312"/>
        </w:rPr>
        <w:t>年</w:t>
      </w:r>
      <w:r>
        <w:rPr>
          <w:rFonts w:hint="eastAsia" w:eastAsia="宋体" w:cs="仿宋_GB2312"/>
          <w:lang w:val="en-US" w:eastAsia="zh-CN"/>
        </w:rPr>
        <w:t>6</w:t>
      </w:r>
      <w:r>
        <w:rPr>
          <w:rFonts w:hint="eastAsia" w:eastAsia="宋体" w:cs="仿宋_GB2312"/>
        </w:rPr>
        <w:t>月</w:t>
      </w:r>
      <w:r>
        <w:rPr>
          <w:rFonts w:hint="eastAsia" w:eastAsia="宋体" w:cs="仿宋_GB2312"/>
          <w:lang w:val="en-US" w:eastAsia="zh-CN"/>
        </w:rPr>
        <w:t>8</w:t>
      </w:r>
      <w:r>
        <w:rPr>
          <w:rFonts w:hint="eastAsia" w:eastAsia="宋体" w:cs="仿宋_GB2312"/>
        </w:rPr>
        <w:t>日至2</w:t>
      </w:r>
      <w:r>
        <w:rPr>
          <w:rFonts w:eastAsia="宋体" w:cs="仿宋_GB2312"/>
        </w:rPr>
        <w:t>02</w:t>
      </w:r>
      <w:r>
        <w:rPr>
          <w:rFonts w:hint="eastAsia" w:eastAsia="宋体" w:cs="仿宋_GB2312"/>
          <w:lang w:val="en-US" w:eastAsia="zh-CN"/>
        </w:rPr>
        <w:t>4</w:t>
      </w:r>
      <w:r>
        <w:rPr>
          <w:rFonts w:hint="eastAsia" w:eastAsia="宋体" w:cs="仿宋_GB2312"/>
        </w:rPr>
        <w:t>年</w:t>
      </w:r>
      <w:r>
        <w:rPr>
          <w:rFonts w:hint="eastAsia" w:eastAsia="宋体" w:cs="仿宋_GB2312"/>
          <w:lang w:val="en-US" w:eastAsia="zh-CN"/>
        </w:rPr>
        <w:t>9</w:t>
      </w:r>
      <w:r>
        <w:rPr>
          <w:rFonts w:hint="eastAsia" w:eastAsia="宋体" w:cs="仿宋_GB2312"/>
        </w:rPr>
        <w:t>月</w:t>
      </w:r>
      <w:r>
        <w:rPr>
          <w:rFonts w:hint="eastAsia" w:eastAsia="宋体" w:cs="仿宋_GB2312"/>
          <w:lang w:val="en-US" w:eastAsia="zh-CN"/>
        </w:rPr>
        <w:t>23</w:t>
      </w:r>
      <w:r>
        <w:rPr>
          <w:rFonts w:hint="eastAsia" w:eastAsia="宋体" w:cs="仿宋_GB2312"/>
        </w:rPr>
        <w:t>日，课题工作组及专家组共进行了多次会议，专家组对</w:t>
      </w:r>
      <w:r>
        <w:rPr>
          <w:rFonts w:hint="eastAsia" w:eastAsia="宋体" w:cs="仿宋_GB2312"/>
          <w:lang w:val="en-US" w:eastAsia="zh-CN"/>
        </w:rPr>
        <w:t>项目</w:t>
      </w:r>
      <w:r>
        <w:rPr>
          <w:rFonts w:hint="eastAsia" w:eastAsia="宋体" w:cs="仿宋_GB2312"/>
        </w:rPr>
        <w:t>的框架结构、技术标准的规划、</w:t>
      </w:r>
      <w:r>
        <w:rPr>
          <w:rFonts w:hint="eastAsia" w:eastAsia="宋体" w:cs="仿宋_GB2312"/>
          <w:lang w:val="en-US" w:eastAsia="zh-CN"/>
        </w:rPr>
        <w:t>配方原则</w:t>
      </w:r>
      <w:r>
        <w:rPr>
          <w:rFonts w:hint="eastAsia" w:eastAsia="宋体" w:cs="仿宋_GB2312"/>
        </w:rPr>
        <w:t>等宏观方面和结合中医基础理论，对</w:t>
      </w:r>
      <w:r>
        <w:rPr>
          <w:rFonts w:hint="eastAsia" w:eastAsia="宋体" w:cs="仿宋_GB2312"/>
          <w:lang w:val="en-US" w:eastAsia="zh-CN"/>
        </w:rPr>
        <w:t>枸杞红酒</w:t>
      </w:r>
      <w:r>
        <w:rPr>
          <w:rFonts w:hint="eastAsia" w:eastAsia="宋体" w:cs="仿宋_GB2312"/>
        </w:rPr>
        <w:t>中的</w:t>
      </w:r>
      <w:r>
        <w:rPr>
          <w:rFonts w:hint="eastAsia" w:eastAsia="宋体" w:cs="仿宋_GB2312"/>
          <w:lang w:val="en-US" w:eastAsia="zh-CN"/>
        </w:rPr>
        <w:t>配方（</w:t>
      </w:r>
      <w:r>
        <w:rPr>
          <w:rFonts w:hint="eastAsia" w:eastAsia="宋体" w:cs="仿宋_GB2312"/>
        </w:rPr>
        <w:t>食药物质</w:t>
      </w:r>
      <w:r>
        <w:rPr>
          <w:rFonts w:hint="eastAsia" w:eastAsia="宋体" w:cs="仿宋_GB2312"/>
          <w:lang w:val="en-US" w:eastAsia="zh-CN"/>
        </w:rPr>
        <w:t>）</w:t>
      </w:r>
      <w:r>
        <w:rPr>
          <w:rFonts w:hint="eastAsia" w:eastAsia="宋体" w:cs="仿宋_GB2312"/>
        </w:rPr>
        <w:t>、选材、制作方法、功效、适用人群、禁忌人群等具体的细节内容进行了详细的商讨，课题工作组根据修改意见进行反复修改及撰写，在此基础上完成了</w:t>
      </w:r>
      <w:r>
        <w:rPr>
          <w:rFonts w:hint="eastAsia" w:eastAsia="宋体" w:cs="仿宋_GB2312"/>
          <w:lang w:val="en-US" w:eastAsia="zh-CN"/>
        </w:rPr>
        <w:t>《枸杞药膳技术指南 第1部分 枸杞红酒》</w:t>
      </w:r>
      <w:r>
        <w:rPr>
          <w:rFonts w:hint="eastAsia" w:eastAsia="宋体" w:cs="仿宋_GB2312"/>
        </w:rPr>
        <w:t>的初稿。</w:t>
      </w:r>
    </w:p>
    <w:p w14:paraId="6433A2EF">
      <w:pPr>
        <w:pStyle w:val="15"/>
        <w:spacing w:before="0" w:line="360" w:lineRule="auto"/>
        <w:ind w:firstLine="602" w:firstLineChars="200"/>
        <w:jc w:val="both"/>
        <w:rPr>
          <w:rFonts w:eastAsia="宋体" w:cs="仿宋_GB2312"/>
          <w:b/>
          <w:bCs/>
          <w:sz w:val="30"/>
          <w:szCs w:val="30"/>
        </w:rPr>
      </w:pPr>
      <w:r>
        <w:rPr>
          <w:rFonts w:hint="eastAsia" w:eastAsia="宋体" w:cs="仿宋_GB2312"/>
          <w:b/>
          <w:bCs/>
          <w:sz w:val="30"/>
          <w:szCs w:val="30"/>
        </w:rPr>
        <w:t>四、</w:t>
      </w:r>
      <w:r>
        <w:rPr>
          <w:rFonts w:hint="eastAsia" w:eastAsia="宋体" w:cs="仿宋_GB2312"/>
          <w:b/>
          <w:bCs/>
          <w:sz w:val="30"/>
          <w:szCs w:val="30"/>
          <w:lang w:val="en-US" w:eastAsia="zh-CN"/>
        </w:rPr>
        <w:t>技术</w:t>
      </w:r>
      <w:r>
        <w:rPr>
          <w:rFonts w:hint="eastAsia" w:eastAsia="宋体" w:cs="仿宋_GB2312"/>
          <w:b/>
          <w:bCs/>
          <w:sz w:val="30"/>
          <w:szCs w:val="30"/>
        </w:rPr>
        <w:t>指南编制的原则</w:t>
      </w:r>
    </w:p>
    <w:p w14:paraId="46DDDB6D">
      <w:pPr>
        <w:pStyle w:val="15"/>
        <w:spacing w:before="0" w:line="360" w:lineRule="auto"/>
        <w:ind w:firstLine="560" w:firstLineChars="200"/>
        <w:jc w:val="both"/>
        <w:rPr>
          <w:rFonts w:hint="eastAsia" w:eastAsia="宋体" w:cs="仿宋_GB2312"/>
        </w:rPr>
      </w:pPr>
      <w:r>
        <w:rPr>
          <w:rFonts w:hint="eastAsia" w:eastAsia="宋体" w:cs="仿宋_GB2312"/>
        </w:rPr>
        <w:t>本指南是对</w:t>
      </w:r>
      <w:r>
        <w:rPr>
          <w:rFonts w:hint="eastAsia" w:eastAsia="宋体" w:cs="仿宋_GB2312"/>
          <w:lang w:val="en-US" w:eastAsia="zh-CN"/>
        </w:rPr>
        <w:t>枸杞红酒制作过程</w:t>
      </w:r>
      <w:r>
        <w:rPr>
          <w:rFonts w:hint="eastAsia" w:eastAsia="宋体" w:cs="仿宋_GB2312"/>
        </w:rPr>
        <w:t>中配方及原则</w:t>
      </w:r>
      <w:r>
        <w:rPr>
          <w:rFonts w:hint="eastAsia" w:eastAsia="宋体" w:cs="仿宋_GB2312"/>
          <w:lang w:eastAsia="zh-CN"/>
        </w:rPr>
        <w:t>、</w:t>
      </w:r>
      <w:r>
        <w:rPr>
          <w:rFonts w:hint="eastAsia" w:eastAsia="宋体" w:cs="仿宋_GB2312"/>
        </w:rPr>
        <w:t>一般要求</w:t>
      </w:r>
      <w:r>
        <w:rPr>
          <w:rFonts w:hint="eastAsia" w:eastAsia="宋体" w:cs="仿宋_GB2312"/>
          <w:lang w:eastAsia="zh-CN"/>
        </w:rPr>
        <w:t>、</w:t>
      </w:r>
      <w:r>
        <w:rPr>
          <w:rFonts w:hint="eastAsia" w:eastAsia="宋体" w:cs="仿宋_GB2312"/>
        </w:rPr>
        <w:t>推荐方案</w:t>
      </w:r>
      <w:r>
        <w:rPr>
          <w:rFonts w:hint="eastAsia" w:eastAsia="宋体" w:cs="仿宋_GB2312"/>
          <w:lang w:eastAsia="zh-CN"/>
        </w:rPr>
        <w:t>、</w:t>
      </w:r>
      <w:r>
        <w:rPr>
          <w:rFonts w:hint="eastAsia" w:eastAsia="宋体" w:cs="仿宋_GB2312"/>
        </w:rPr>
        <w:t>检验规则</w:t>
      </w:r>
      <w:r>
        <w:rPr>
          <w:rFonts w:hint="eastAsia" w:eastAsia="宋体" w:cs="仿宋_GB2312"/>
          <w:lang w:eastAsia="zh-CN"/>
        </w:rPr>
        <w:t>、</w:t>
      </w:r>
      <w:r>
        <w:rPr>
          <w:rFonts w:hint="eastAsia" w:eastAsia="宋体" w:cs="仿宋_GB2312"/>
        </w:rPr>
        <w:t>产品标志</w:t>
      </w:r>
      <w:r>
        <w:rPr>
          <w:rFonts w:hint="eastAsia" w:eastAsia="宋体" w:cs="仿宋_GB2312"/>
          <w:lang w:eastAsia="zh-CN"/>
        </w:rPr>
        <w:t>、</w:t>
      </w:r>
      <w:r>
        <w:rPr>
          <w:rFonts w:hint="eastAsia" w:eastAsia="宋体" w:cs="仿宋_GB2312"/>
        </w:rPr>
        <w:t>包装、运输、贮存</w:t>
      </w:r>
      <w:r>
        <w:rPr>
          <w:rFonts w:hint="eastAsia" w:eastAsia="宋体" w:cs="仿宋_GB2312"/>
          <w:lang w:val="en-US" w:eastAsia="zh-CN"/>
        </w:rPr>
        <w:t>等</w:t>
      </w:r>
      <w:r>
        <w:rPr>
          <w:rFonts w:hint="eastAsia" w:eastAsia="宋体" w:cs="仿宋_GB2312"/>
        </w:rPr>
        <w:t>的指导性文件，具有较强的科学性、可行性、实用性。</w:t>
      </w:r>
    </w:p>
    <w:p w14:paraId="6E2BFDDC">
      <w:pPr>
        <w:pStyle w:val="15"/>
        <w:spacing w:before="0" w:line="360" w:lineRule="auto"/>
        <w:ind w:firstLine="560" w:firstLineChars="200"/>
        <w:jc w:val="both"/>
        <w:rPr>
          <w:rFonts w:hint="eastAsia" w:eastAsia="宋体" w:cs="仿宋_GB2312"/>
        </w:rPr>
      </w:pPr>
      <w:r>
        <w:rPr>
          <w:rFonts w:hint="eastAsia" w:eastAsia="宋体" w:cs="仿宋_GB2312"/>
        </w:rPr>
        <w:t>科学性</w:t>
      </w:r>
      <w:r>
        <w:rPr>
          <w:rFonts w:hint="eastAsia" w:eastAsia="宋体" w:cs="仿宋_GB2312"/>
          <w:lang w:eastAsia="zh-CN"/>
        </w:rPr>
        <w:t>：</w:t>
      </w:r>
      <w:r>
        <w:rPr>
          <w:rFonts w:hint="eastAsia" w:eastAsia="宋体" w:cs="仿宋_GB2312"/>
        </w:rPr>
        <w:t>本指南的科学性体现在对枸杞红酒制作过程中原料选择、成熟度控制、及发酵温度控制等关键环节的科学依据和理论支持。这些环节的科学管理是确保枸杞红酒品质和营养价值的关键。</w:t>
      </w:r>
    </w:p>
    <w:p w14:paraId="3B13EDB8">
      <w:pPr>
        <w:pStyle w:val="15"/>
        <w:spacing w:before="0" w:line="360" w:lineRule="auto"/>
        <w:ind w:firstLine="560" w:firstLineChars="200"/>
        <w:jc w:val="both"/>
        <w:rPr>
          <w:rFonts w:hint="eastAsia" w:eastAsia="宋体" w:cs="仿宋_GB2312"/>
        </w:rPr>
      </w:pPr>
      <w:r>
        <w:rPr>
          <w:rFonts w:hint="eastAsia" w:eastAsia="宋体" w:cs="仿宋_GB2312"/>
        </w:rPr>
        <w:t>可行性</w:t>
      </w:r>
      <w:r>
        <w:rPr>
          <w:rFonts w:hint="eastAsia" w:eastAsia="宋体" w:cs="仿宋_GB2312"/>
          <w:lang w:eastAsia="zh-CN"/>
        </w:rPr>
        <w:t>：</w:t>
      </w:r>
      <w:r>
        <w:rPr>
          <w:rFonts w:hint="eastAsia" w:eastAsia="宋体" w:cs="仿宋_GB2312"/>
        </w:rPr>
        <w:t>指南中的可行性体现在其对枸杞红酒生产工艺的详细描述和操作步骤的明确指导，确保了从原料处理到成品包装的每个环节都能在实际生产中顺利实施，同时考虑到不同生产条件和环境的适应性。</w:t>
      </w:r>
    </w:p>
    <w:p w14:paraId="5DB5981A">
      <w:pPr>
        <w:pStyle w:val="15"/>
        <w:spacing w:before="0" w:line="360" w:lineRule="auto"/>
        <w:ind w:firstLine="560" w:firstLineChars="200"/>
        <w:jc w:val="both"/>
        <w:rPr>
          <w:rFonts w:eastAsia="宋体" w:cs="仿宋_GB2312"/>
        </w:rPr>
      </w:pPr>
      <w:r>
        <w:rPr>
          <w:rFonts w:hint="eastAsia" w:eastAsia="宋体" w:cs="仿宋_GB2312"/>
        </w:rPr>
        <w:t>实用性</w:t>
      </w:r>
      <w:r>
        <w:rPr>
          <w:rFonts w:hint="eastAsia" w:eastAsia="宋体" w:cs="仿宋_GB2312"/>
          <w:lang w:eastAsia="zh-CN"/>
        </w:rPr>
        <w:t>：</w:t>
      </w:r>
      <w:r>
        <w:rPr>
          <w:rFonts w:hint="eastAsia" w:eastAsia="宋体" w:cs="仿宋_GB2312"/>
        </w:rPr>
        <w:t>实用性则体现在指南为枸杞红酒的生产提供了一套完整的操作规范，包括配方、检验规则、产品标识、包装、运输和储存等，这些规范不仅有助于保证产品的质量和安全性，也方便了产品的市场流通和消费者识别。</w:t>
      </w:r>
    </w:p>
    <w:p w14:paraId="1C5819A1">
      <w:pPr>
        <w:pStyle w:val="15"/>
        <w:spacing w:before="0" w:line="360" w:lineRule="auto"/>
        <w:ind w:firstLine="602" w:firstLineChars="200"/>
        <w:jc w:val="both"/>
        <w:rPr>
          <w:rFonts w:eastAsia="宋体" w:cs="仿宋_GB2312"/>
          <w:sz w:val="30"/>
          <w:szCs w:val="30"/>
        </w:rPr>
      </w:pPr>
      <w:r>
        <w:rPr>
          <w:rFonts w:hint="eastAsia" w:eastAsia="宋体" w:cs="仿宋_GB2312"/>
          <w:b/>
          <w:bCs/>
          <w:sz w:val="30"/>
          <w:szCs w:val="30"/>
        </w:rPr>
        <w:t>五、</w:t>
      </w:r>
      <w:r>
        <w:rPr>
          <w:rFonts w:hint="eastAsia" w:eastAsia="宋体" w:cs="仿宋_GB2312"/>
          <w:b/>
          <w:bCs/>
          <w:sz w:val="30"/>
          <w:szCs w:val="30"/>
          <w:lang w:val="en-US" w:eastAsia="zh-CN"/>
        </w:rPr>
        <w:t>技术</w:t>
      </w:r>
      <w:r>
        <w:rPr>
          <w:rFonts w:hint="eastAsia" w:eastAsia="宋体" w:cs="仿宋_GB2312"/>
          <w:b/>
          <w:bCs/>
          <w:sz w:val="30"/>
          <w:szCs w:val="30"/>
        </w:rPr>
        <w:t>指南的具体内容</w:t>
      </w:r>
    </w:p>
    <w:p w14:paraId="44654A74">
      <w:pPr>
        <w:pStyle w:val="15"/>
        <w:spacing w:before="0" w:line="360" w:lineRule="auto"/>
        <w:ind w:firstLine="560" w:firstLineChars="200"/>
        <w:jc w:val="both"/>
        <w:rPr>
          <w:rFonts w:eastAsia="宋体" w:cs="仿宋_GB2312"/>
        </w:rPr>
      </w:pPr>
      <w:r>
        <w:rPr>
          <w:rFonts w:hint="eastAsia" w:eastAsia="宋体" w:cs="仿宋_GB2312"/>
        </w:rPr>
        <w:t>（一）指南的主要结构</w:t>
      </w:r>
    </w:p>
    <w:p w14:paraId="00705616">
      <w:pPr>
        <w:pStyle w:val="15"/>
        <w:spacing w:before="0" w:line="360" w:lineRule="auto"/>
        <w:ind w:firstLine="560" w:firstLineChars="200"/>
        <w:jc w:val="both"/>
        <w:rPr>
          <w:rFonts w:eastAsia="宋体" w:cs="仿宋_GB2312"/>
        </w:rPr>
      </w:pPr>
      <w:r>
        <w:rPr>
          <w:rFonts w:hint="eastAsia" w:eastAsia="宋体" w:cs="仿宋_GB2312"/>
        </w:rPr>
        <w:t>本指南主要分为前言、引言、</w:t>
      </w:r>
      <w:r>
        <w:rPr>
          <w:rFonts w:hint="eastAsia" w:eastAsia="宋体" w:cs="仿宋_GB2312"/>
          <w:lang w:val="en-US" w:eastAsia="zh-CN"/>
        </w:rPr>
        <w:t>技术指南</w:t>
      </w:r>
      <w:r>
        <w:rPr>
          <w:rFonts w:hint="eastAsia" w:eastAsia="宋体" w:cs="仿宋_GB2312"/>
        </w:rPr>
        <w:t>、参考文献四部分。</w:t>
      </w:r>
    </w:p>
    <w:p w14:paraId="5BB35343">
      <w:pPr>
        <w:pStyle w:val="15"/>
        <w:spacing w:before="0" w:line="360" w:lineRule="auto"/>
        <w:ind w:firstLine="560" w:firstLineChars="200"/>
        <w:jc w:val="both"/>
        <w:rPr>
          <w:rFonts w:eastAsia="宋体" w:cs="仿宋_GB2312"/>
        </w:rPr>
      </w:pPr>
      <w:r>
        <w:rPr>
          <w:rFonts w:hint="eastAsia" w:eastAsia="宋体" w:cs="仿宋_GB2312"/>
        </w:rPr>
        <w:t>（二）指南的主要内容</w:t>
      </w:r>
    </w:p>
    <w:p w14:paraId="4F8E3A1E">
      <w:pPr>
        <w:pStyle w:val="15"/>
        <w:spacing w:before="0" w:line="360" w:lineRule="auto"/>
        <w:ind w:firstLine="560" w:firstLineChars="200"/>
        <w:jc w:val="both"/>
        <w:rPr>
          <w:rFonts w:eastAsia="宋体" w:cs="仿宋_GB2312"/>
        </w:rPr>
      </w:pPr>
      <w:r>
        <w:rPr>
          <w:rFonts w:hint="eastAsia" w:eastAsia="宋体" w:cs="仿宋_GB2312"/>
        </w:rPr>
        <w:t>技术指南主要包括范围</w:t>
      </w:r>
      <w:r>
        <w:rPr>
          <w:rFonts w:hint="eastAsia" w:eastAsia="宋体" w:cs="仿宋_GB2312"/>
          <w:lang w:eastAsia="zh-CN"/>
        </w:rPr>
        <w:t>、</w:t>
      </w:r>
      <w:r>
        <w:rPr>
          <w:rFonts w:hint="eastAsia" w:eastAsia="宋体" w:cs="仿宋_GB2312"/>
        </w:rPr>
        <w:t>规范性引用文件</w:t>
      </w:r>
      <w:r>
        <w:rPr>
          <w:rFonts w:hint="eastAsia" w:eastAsia="宋体" w:cs="仿宋_GB2312"/>
          <w:lang w:eastAsia="zh-CN"/>
        </w:rPr>
        <w:t>、</w:t>
      </w:r>
      <w:r>
        <w:rPr>
          <w:rFonts w:hint="eastAsia" w:eastAsia="宋体" w:cs="仿宋_GB2312"/>
        </w:rPr>
        <w:t>术语及定义</w:t>
      </w:r>
      <w:r>
        <w:rPr>
          <w:rFonts w:hint="eastAsia" w:eastAsia="宋体" w:cs="仿宋_GB2312"/>
          <w:lang w:eastAsia="zh-CN"/>
        </w:rPr>
        <w:t>、</w:t>
      </w:r>
      <w:r>
        <w:rPr>
          <w:rFonts w:hint="eastAsia" w:eastAsia="宋体" w:cs="仿宋_GB2312"/>
        </w:rPr>
        <w:t>配方及原则</w:t>
      </w:r>
      <w:r>
        <w:rPr>
          <w:rFonts w:hint="eastAsia" w:eastAsia="宋体" w:cs="仿宋_GB2312"/>
          <w:lang w:eastAsia="zh-CN"/>
        </w:rPr>
        <w:t>、</w:t>
      </w:r>
      <w:r>
        <w:rPr>
          <w:rFonts w:hint="eastAsia" w:eastAsia="宋体" w:cs="仿宋_GB2312"/>
        </w:rPr>
        <w:t>一般要求</w:t>
      </w:r>
      <w:r>
        <w:rPr>
          <w:rFonts w:hint="eastAsia" w:eastAsia="宋体" w:cs="仿宋_GB2312"/>
          <w:lang w:eastAsia="zh-CN"/>
        </w:rPr>
        <w:t>、</w:t>
      </w:r>
      <w:r>
        <w:rPr>
          <w:rFonts w:hint="eastAsia" w:eastAsia="宋体" w:cs="仿宋_GB2312"/>
        </w:rPr>
        <w:t>推荐方案</w:t>
      </w:r>
      <w:r>
        <w:rPr>
          <w:rFonts w:hint="eastAsia" w:eastAsia="宋体" w:cs="仿宋_GB2312"/>
          <w:lang w:eastAsia="zh-CN"/>
        </w:rPr>
        <w:t>、</w:t>
      </w:r>
      <w:r>
        <w:rPr>
          <w:rFonts w:hint="eastAsia" w:eastAsia="宋体" w:cs="仿宋_GB2312"/>
        </w:rPr>
        <w:t>检验规则</w:t>
      </w:r>
      <w:r>
        <w:rPr>
          <w:rFonts w:hint="eastAsia" w:eastAsia="宋体" w:cs="仿宋_GB2312"/>
          <w:lang w:eastAsia="zh-CN"/>
        </w:rPr>
        <w:t>、</w:t>
      </w:r>
      <w:r>
        <w:rPr>
          <w:rFonts w:hint="eastAsia" w:eastAsia="宋体" w:cs="仿宋_GB2312"/>
        </w:rPr>
        <w:t>产品标志</w:t>
      </w:r>
      <w:r>
        <w:rPr>
          <w:rFonts w:hint="eastAsia" w:eastAsia="宋体" w:cs="仿宋_GB2312"/>
          <w:lang w:eastAsia="zh-CN"/>
        </w:rPr>
        <w:t>、</w:t>
      </w:r>
      <w:r>
        <w:rPr>
          <w:rFonts w:hint="eastAsia" w:eastAsia="宋体" w:cs="仿宋_GB2312"/>
        </w:rPr>
        <w:t>包装、运输、贮存</w:t>
      </w:r>
      <w:r>
        <w:rPr>
          <w:rFonts w:hint="eastAsia" w:eastAsia="宋体" w:cs="仿宋_GB2312"/>
          <w:lang w:val="en-US" w:eastAsia="zh-CN"/>
        </w:rPr>
        <w:t>等</w:t>
      </w:r>
      <w:r>
        <w:rPr>
          <w:rFonts w:hint="eastAsia" w:eastAsia="宋体" w:cs="仿宋_GB2312"/>
        </w:rPr>
        <w:t>内容。</w:t>
      </w:r>
    </w:p>
    <w:p w14:paraId="068B9E36">
      <w:pPr>
        <w:pStyle w:val="15"/>
        <w:spacing w:before="0" w:line="360" w:lineRule="auto"/>
        <w:ind w:firstLine="560" w:firstLineChars="200"/>
        <w:jc w:val="both"/>
        <w:rPr>
          <w:rFonts w:hint="eastAsia" w:eastAsia="宋体" w:cs="仿宋_GB2312"/>
        </w:rPr>
      </w:pPr>
      <w:r>
        <w:rPr>
          <w:rFonts w:hint="eastAsia" w:eastAsia="宋体" w:cs="仿宋_GB2312"/>
          <w:lang w:val="en-US" w:eastAsia="zh-CN"/>
        </w:rPr>
        <w:t>其中在</w:t>
      </w:r>
      <w:r>
        <w:rPr>
          <w:rFonts w:hint="eastAsia" w:eastAsia="宋体" w:cs="仿宋_GB2312"/>
        </w:rPr>
        <w:t>范围</w:t>
      </w:r>
      <w:r>
        <w:rPr>
          <w:rFonts w:hint="eastAsia" w:eastAsia="宋体" w:cs="仿宋_GB2312"/>
          <w:lang w:eastAsia="zh-CN"/>
        </w:rPr>
        <w:t>、</w:t>
      </w:r>
      <w:r>
        <w:rPr>
          <w:rFonts w:hint="eastAsia" w:eastAsia="宋体" w:cs="仿宋_GB2312"/>
        </w:rPr>
        <w:t>规范性引用文件</w:t>
      </w:r>
      <w:r>
        <w:rPr>
          <w:rFonts w:hint="eastAsia" w:eastAsia="宋体" w:cs="仿宋_GB2312"/>
          <w:lang w:eastAsia="zh-CN"/>
        </w:rPr>
        <w:t>、</w:t>
      </w:r>
      <w:r>
        <w:rPr>
          <w:rFonts w:hint="eastAsia" w:eastAsia="宋体" w:cs="仿宋_GB2312"/>
        </w:rPr>
        <w:t>术语及定义</w:t>
      </w:r>
      <w:r>
        <w:rPr>
          <w:rFonts w:hint="eastAsia" w:eastAsia="宋体" w:cs="仿宋_GB2312"/>
          <w:lang w:eastAsia="zh-CN"/>
        </w:rPr>
        <w:t>、</w:t>
      </w:r>
      <w:r>
        <w:rPr>
          <w:rFonts w:hint="eastAsia" w:eastAsia="宋体" w:cs="仿宋_GB2312"/>
        </w:rPr>
        <w:t>配方及原则</w:t>
      </w:r>
      <w:r>
        <w:rPr>
          <w:rFonts w:hint="eastAsia" w:eastAsia="宋体" w:cs="仿宋_GB2312"/>
          <w:lang w:eastAsia="zh-CN"/>
        </w:rPr>
        <w:t>、</w:t>
      </w:r>
      <w:r>
        <w:rPr>
          <w:rFonts w:hint="eastAsia" w:eastAsia="宋体" w:cs="仿宋_GB2312"/>
        </w:rPr>
        <w:t>一般要求</w:t>
      </w:r>
      <w:r>
        <w:rPr>
          <w:rFonts w:hint="eastAsia" w:eastAsia="宋体" w:cs="仿宋_GB2312"/>
          <w:lang w:eastAsia="zh-CN"/>
        </w:rPr>
        <w:t>、</w:t>
      </w:r>
      <w:r>
        <w:rPr>
          <w:rFonts w:hint="eastAsia" w:eastAsia="宋体" w:cs="仿宋_GB2312"/>
        </w:rPr>
        <w:t>推荐方案</w:t>
      </w:r>
      <w:r>
        <w:rPr>
          <w:rFonts w:hint="eastAsia" w:eastAsia="宋体" w:cs="仿宋_GB2312"/>
          <w:lang w:val="en-US" w:eastAsia="zh-CN"/>
        </w:rPr>
        <w:t>等部分</w:t>
      </w:r>
      <w:r>
        <w:rPr>
          <w:rFonts w:hint="eastAsia" w:eastAsia="宋体" w:cs="仿宋_GB2312"/>
        </w:rPr>
        <w:t>明确</w:t>
      </w:r>
      <w:r>
        <w:rPr>
          <w:rFonts w:hint="eastAsia" w:eastAsia="宋体" w:cs="仿宋_GB2312"/>
          <w:lang w:eastAsia="zh-CN"/>
        </w:rPr>
        <w:t>了</w:t>
      </w:r>
      <w:r>
        <w:rPr>
          <w:rFonts w:hint="eastAsia" w:eastAsia="宋体" w:cs="仿宋_GB2312"/>
        </w:rPr>
        <w:t>相关名词术语和配方原则，包括枸杞红酒的定义、枸杞红酒采用的经典配方和指导原则。</w:t>
      </w:r>
      <w:r>
        <w:rPr>
          <w:rFonts w:hint="eastAsia" w:eastAsia="宋体" w:cs="仿宋_GB2312"/>
          <w:lang w:val="en-US" w:eastAsia="zh-CN"/>
        </w:rPr>
        <w:t>明确了</w:t>
      </w:r>
      <w:r>
        <w:rPr>
          <w:rFonts w:hint="eastAsia" w:eastAsia="宋体" w:cs="仿宋_GB2312"/>
        </w:rPr>
        <w:t>枸杞红酒的分类</w:t>
      </w:r>
      <w:r>
        <w:rPr>
          <w:rFonts w:hint="eastAsia" w:eastAsia="宋体" w:cs="仿宋_GB2312"/>
          <w:lang w:eastAsia="zh-CN"/>
        </w:rPr>
        <w:t>，</w:t>
      </w:r>
      <w:r>
        <w:rPr>
          <w:rFonts w:hint="eastAsia" w:eastAsia="宋体" w:cs="仿宋_GB2312"/>
        </w:rPr>
        <w:t>按照生产原料和工艺或红酒的含糖量进行产品分类，便于规定产品的适宜人群和注意事项</w:t>
      </w:r>
      <w:r>
        <w:rPr>
          <w:rFonts w:hint="eastAsia" w:eastAsia="宋体" w:cs="仿宋_GB2312"/>
          <w:lang w:eastAsia="zh-CN"/>
        </w:rPr>
        <w:t>。</w:t>
      </w:r>
      <w:r>
        <w:rPr>
          <w:rFonts w:hint="eastAsia" w:eastAsia="宋体" w:cs="仿宋_GB2312"/>
        </w:rPr>
        <w:t>规范</w:t>
      </w:r>
      <w:r>
        <w:rPr>
          <w:rFonts w:hint="eastAsia" w:eastAsia="宋体" w:cs="仿宋_GB2312"/>
          <w:lang w:eastAsia="zh-CN"/>
        </w:rPr>
        <w:t>了</w:t>
      </w:r>
      <w:r>
        <w:rPr>
          <w:rFonts w:hint="eastAsia" w:eastAsia="宋体" w:cs="仿宋_GB2312"/>
        </w:rPr>
        <w:t>枸杞红酒的制作工艺，依据相关标准，结合本产品的特色，选择适合的工艺。梳理和规定</w:t>
      </w:r>
      <w:r>
        <w:rPr>
          <w:rFonts w:hint="eastAsia" w:eastAsia="宋体" w:cs="仿宋_GB2312"/>
          <w:lang w:eastAsia="zh-CN"/>
        </w:rPr>
        <w:t>了</w:t>
      </w:r>
      <w:r>
        <w:rPr>
          <w:rFonts w:hint="eastAsia" w:eastAsia="宋体" w:cs="仿宋_GB2312"/>
        </w:rPr>
        <w:t>枸杞红酒的相关要求，包括：1）原料要求。如枸杞的产地、选材和用量，红酒的产地、用料比例，其他食药物质的配伍和用量。2）感官要求。如枸杞红酒的色泽、外观、香气、口感、口味和产品风格等。3）理化要求。如枸杞红酒的酒精度、总糖、挥发物和干浸出物等。4）净含量要求。</w:t>
      </w:r>
      <w:r>
        <w:rPr>
          <w:rFonts w:hint="eastAsia" w:eastAsia="宋体" w:cs="仿宋_GB2312"/>
          <w:lang w:val="en-US" w:eastAsia="zh-CN"/>
        </w:rPr>
        <w:t>进行了</w:t>
      </w:r>
      <w:r>
        <w:rPr>
          <w:rFonts w:hint="eastAsia" w:eastAsia="宋体" w:cs="仿宋_GB2312"/>
        </w:rPr>
        <w:t>枸杞红酒的使用和推荐，包括适用范围、注意事项、禁忌症、可能出现的异常情况及处理措施等问题。</w:t>
      </w:r>
    </w:p>
    <w:p w14:paraId="1656E0FB">
      <w:pPr>
        <w:pStyle w:val="15"/>
        <w:spacing w:before="0" w:line="360" w:lineRule="auto"/>
        <w:ind w:firstLine="560" w:firstLineChars="200"/>
        <w:jc w:val="both"/>
        <w:rPr>
          <w:rFonts w:eastAsia="宋体" w:cs="仿宋_GB2312"/>
        </w:rPr>
      </w:pPr>
      <w:r>
        <w:rPr>
          <w:rFonts w:hint="eastAsia" w:eastAsia="宋体" w:cs="仿宋_GB2312"/>
        </w:rPr>
        <w:t>检验规则</w:t>
      </w:r>
      <w:r>
        <w:rPr>
          <w:rFonts w:hint="eastAsia" w:eastAsia="宋体" w:cs="仿宋_GB2312"/>
          <w:lang w:eastAsia="zh-CN"/>
        </w:rPr>
        <w:t>、</w:t>
      </w:r>
      <w:r>
        <w:rPr>
          <w:rFonts w:hint="eastAsia" w:eastAsia="宋体" w:cs="仿宋_GB2312"/>
        </w:rPr>
        <w:t>产品标志</w:t>
      </w:r>
      <w:r>
        <w:rPr>
          <w:rFonts w:hint="eastAsia" w:eastAsia="宋体" w:cs="仿宋_GB2312"/>
          <w:lang w:eastAsia="zh-CN"/>
        </w:rPr>
        <w:t>、</w:t>
      </w:r>
      <w:r>
        <w:rPr>
          <w:rFonts w:hint="eastAsia" w:eastAsia="宋体" w:cs="仿宋_GB2312"/>
        </w:rPr>
        <w:t>包装、运输、贮存</w:t>
      </w:r>
      <w:r>
        <w:rPr>
          <w:rFonts w:hint="eastAsia" w:eastAsia="宋体" w:cs="仿宋_GB2312"/>
          <w:lang w:val="en-US" w:eastAsia="zh-CN"/>
        </w:rPr>
        <w:t>等部分明确了</w:t>
      </w:r>
      <w:r>
        <w:rPr>
          <w:rFonts w:hint="eastAsia" w:eastAsia="宋体" w:cs="仿宋_GB2312"/>
        </w:rPr>
        <w:t>枸杞红酒的试验和检验，参照相关标准完成。</w:t>
      </w:r>
      <w:r>
        <w:rPr>
          <w:rFonts w:hint="eastAsia" w:eastAsia="宋体" w:cs="仿宋_GB2312"/>
          <w:lang w:val="en-US" w:eastAsia="zh-CN"/>
        </w:rPr>
        <w:t>明确了</w:t>
      </w:r>
      <w:r>
        <w:rPr>
          <w:rFonts w:hint="eastAsia" w:eastAsia="宋体" w:cs="仿宋_GB2312"/>
        </w:rPr>
        <w:t>枸杞红酒的包装、储存和运输，包括包装使用的容器、装卸时的注意事项和运输、存贮的温度、湿度要求等。</w:t>
      </w:r>
    </w:p>
    <w:p w14:paraId="1C11CC53">
      <w:pPr>
        <w:pStyle w:val="3"/>
        <w:spacing w:before="0" w:beforeAutospacing="0" w:after="0" w:afterAutospacing="0"/>
        <w:outlineLvl w:val="0"/>
        <w:rPr>
          <w:rFonts w:ascii="Times New Roman" w:hAnsi="Times New Roman" w:cs="仿宋"/>
          <w:b/>
          <w:bCs/>
          <w:color w:val="000000"/>
          <w:sz w:val="30"/>
          <w:szCs w:val="30"/>
        </w:rPr>
      </w:pPr>
      <w:bookmarkStart w:id="1" w:name="_Toc359311110"/>
      <w:r>
        <w:rPr>
          <w:rFonts w:hint="eastAsia" w:ascii="Times New Roman" w:hAnsi="Times New Roman" w:cs="仿宋"/>
          <w:b/>
          <w:bCs/>
          <w:color w:val="000000"/>
          <w:sz w:val="30"/>
          <w:szCs w:val="30"/>
        </w:rPr>
        <w:t>六、重大意见和困难的处理经过</w:t>
      </w:r>
      <w:bookmarkEnd w:id="1"/>
    </w:p>
    <w:p w14:paraId="4D0CDAE3">
      <w:pPr>
        <w:pStyle w:val="12"/>
        <w:snapToGrid w:val="0"/>
        <w:spacing w:line="360" w:lineRule="auto"/>
        <w:ind w:firstLine="560" w:firstLineChars="200"/>
        <w:jc w:val="both"/>
        <w:rPr>
          <w:rFonts w:ascii="Times New Roman" w:hAnsi="Times New Roman" w:cs="仿宋_GB2312"/>
          <w:color w:val="auto"/>
          <w:sz w:val="28"/>
          <w:szCs w:val="28"/>
        </w:rPr>
      </w:pPr>
      <w:r>
        <w:rPr>
          <w:rFonts w:hint="eastAsia" w:ascii="Times New Roman" w:hAnsi="Times New Roman" w:cs="仿宋_GB2312"/>
          <w:color w:val="auto"/>
          <w:sz w:val="28"/>
          <w:szCs w:val="28"/>
          <w:lang w:val="en-US" w:eastAsia="zh-CN"/>
        </w:rPr>
        <w:t>无</w:t>
      </w:r>
      <w:r>
        <w:rPr>
          <w:rFonts w:hint="eastAsia" w:ascii="Times New Roman" w:hAnsi="Times New Roman" w:cs="仿宋_GB2312"/>
          <w:color w:val="auto"/>
          <w:sz w:val="28"/>
          <w:szCs w:val="28"/>
        </w:rPr>
        <w:t>。</w:t>
      </w:r>
    </w:p>
    <w:p w14:paraId="01919921">
      <w:pPr>
        <w:pStyle w:val="3"/>
        <w:spacing w:before="0" w:beforeAutospacing="0" w:after="0" w:afterAutospacing="0"/>
        <w:outlineLvl w:val="0"/>
        <w:rPr>
          <w:rFonts w:ascii="Times New Roman" w:hAnsi="Times New Roman" w:cs="仿宋"/>
          <w:b/>
          <w:bCs/>
          <w:color w:val="000000"/>
          <w:sz w:val="30"/>
          <w:szCs w:val="30"/>
        </w:rPr>
      </w:pPr>
      <w:bookmarkStart w:id="2" w:name="_Toc359311111"/>
      <w:r>
        <w:rPr>
          <w:rFonts w:hint="eastAsia" w:ascii="Times New Roman" w:hAnsi="Times New Roman" w:cs="仿宋"/>
          <w:b/>
          <w:bCs/>
          <w:color w:val="000000"/>
          <w:sz w:val="30"/>
          <w:szCs w:val="30"/>
        </w:rPr>
        <w:t>七、与相关法律、版权等的</w:t>
      </w:r>
      <w:bookmarkEnd w:id="2"/>
      <w:r>
        <w:rPr>
          <w:rFonts w:hint="eastAsia" w:ascii="Times New Roman" w:hAnsi="Times New Roman" w:cs="仿宋"/>
          <w:b/>
          <w:bCs/>
          <w:color w:val="000000"/>
          <w:sz w:val="30"/>
          <w:szCs w:val="30"/>
        </w:rPr>
        <w:t>声明</w:t>
      </w:r>
    </w:p>
    <w:p w14:paraId="65DE035F">
      <w:pPr>
        <w:pStyle w:val="3"/>
        <w:spacing w:before="0" w:beforeAutospacing="0" w:after="0" w:afterAutospacing="0"/>
        <w:ind w:firstLine="560" w:firstLineChars="200"/>
        <w:outlineLvl w:val="0"/>
        <w:rPr>
          <w:rFonts w:hint="eastAsia" w:ascii="Times New Roman" w:hAnsi="Times New Roman" w:cs="仿宋"/>
          <w:color w:val="000000"/>
          <w:sz w:val="28"/>
          <w:szCs w:val="28"/>
          <w:lang w:val="en-US" w:eastAsia="zh-CN"/>
        </w:rPr>
      </w:pPr>
      <w:r>
        <w:rPr>
          <w:rFonts w:hint="eastAsia" w:ascii="Times New Roman" w:hAnsi="Times New Roman" w:cs="仿宋"/>
          <w:color w:val="000000"/>
          <w:sz w:val="28"/>
          <w:szCs w:val="28"/>
          <w:lang w:val="en-US" w:eastAsia="zh-CN"/>
        </w:rPr>
        <w:t>本</w:t>
      </w:r>
      <w:r>
        <w:rPr>
          <w:rFonts w:hint="eastAsia" w:ascii="Times New Roman" w:hAnsi="Times New Roman" w:eastAsia="宋体" w:cs="仿宋"/>
          <w:color w:val="000000"/>
          <w:sz w:val="30"/>
          <w:szCs w:val="30"/>
        </w:rPr>
        <w:t>指南</w:t>
      </w:r>
      <w:r>
        <w:rPr>
          <w:rFonts w:hint="eastAsia" w:ascii="Times New Roman" w:hAnsi="Times New Roman" w:cs="仿宋"/>
          <w:color w:val="000000"/>
          <w:sz w:val="28"/>
          <w:szCs w:val="28"/>
          <w:lang w:val="en-US" w:eastAsia="zh-CN"/>
        </w:rPr>
        <w:t>符合法律法规的相关要求。</w:t>
      </w:r>
    </w:p>
    <w:p w14:paraId="10AB7416">
      <w:pPr>
        <w:pStyle w:val="3"/>
        <w:spacing w:before="0" w:beforeAutospacing="0" w:after="0" w:afterAutospacing="0"/>
        <w:ind w:firstLine="560" w:firstLineChars="200"/>
        <w:outlineLvl w:val="0"/>
        <w:rPr>
          <w:rFonts w:hint="eastAsia" w:ascii="Times New Roman" w:hAnsi="Times New Roman" w:cs="仿宋"/>
          <w:color w:val="000000"/>
          <w:sz w:val="28"/>
          <w:szCs w:val="28"/>
          <w:lang w:val="en-US" w:eastAsia="zh-CN"/>
        </w:rPr>
      </w:pPr>
    </w:p>
    <w:p w14:paraId="25FBAD83">
      <w:pPr>
        <w:jc w:val="right"/>
        <w:rPr>
          <w:rFonts w:ascii="Times New Roman" w:hAnsi="Times New Roman" w:eastAsia="宋体" w:cs="仿宋"/>
          <w:color w:val="000000"/>
          <w:sz w:val="30"/>
          <w:szCs w:val="30"/>
        </w:rPr>
      </w:pPr>
      <w:bookmarkStart w:id="3" w:name="_GoBack"/>
      <w:bookmarkEnd w:id="3"/>
      <w:r>
        <w:rPr>
          <w:rFonts w:hint="eastAsia" w:ascii="Times New Roman" w:hAnsi="Times New Roman" w:eastAsia="宋体" w:cs="仿宋"/>
          <w:color w:val="000000"/>
          <w:sz w:val="30"/>
          <w:szCs w:val="30"/>
        </w:rPr>
        <w:t>起草工作组</w:t>
      </w:r>
    </w:p>
    <w:p w14:paraId="32074FCE">
      <w:pPr>
        <w:ind w:firstLine="4800" w:firstLineChars="1600"/>
        <w:jc w:val="right"/>
        <w:rPr>
          <w:rFonts w:ascii="Times New Roman" w:hAnsi="Times New Roman" w:eastAsia="宋体" w:cs="仿宋"/>
          <w:color w:val="000000"/>
          <w:sz w:val="30"/>
          <w:szCs w:val="30"/>
        </w:rPr>
      </w:pPr>
      <w:r>
        <w:rPr>
          <w:rFonts w:hint="eastAsia" w:ascii="Times New Roman" w:hAnsi="Times New Roman" w:eastAsia="宋体" w:cs="仿宋"/>
          <w:color w:val="000000"/>
          <w:sz w:val="30"/>
          <w:szCs w:val="30"/>
        </w:rPr>
        <w:t>202</w:t>
      </w:r>
      <w:r>
        <w:rPr>
          <w:rFonts w:hint="eastAsia" w:ascii="Times New Roman" w:hAnsi="Times New Roman" w:eastAsia="宋体" w:cs="仿宋"/>
          <w:color w:val="000000"/>
          <w:sz w:val="30"/>
          <w:szCs w:val="30"/>
          <w:lang w:val="en-US" w:eastAsia="zh-CN"/>
        </w:rPr>
        <w:t>4</w:t>
      </w:r>
      <w:r>
        <w:rPr>
          <w:rFonts w:hint="eastAsia" w:ascii="Times New Roman" w:hAnsi="Times New Roman" w:eastAsia="宋体" w:cs="仿宋"/>
          <w:color w:val="000000"/>
          <w:sz w:val="30"/>
          <w:szCs w:val="30"/>
        </w:rPr>
        <w:t>年</w:t>
      </w:r>
      <w:r>
        <w:rPr>
          <w:rFonts w:hint="eastAsia" w:ascii="Times New Roman" w:hAnsi="Times New Roman" w:eastAsia="宋体" w:cs="仿宋"/>
          <w:color w:val="000000"/>
          <w:sz w:val="30"/>
          <w:szCs w:val="30"/>
          <w:lang w:val="en-US" w:eastAsia="zh-CN"/>
        </w:rPr>
        <w:t>11</w:t>
      </w:r>
      <w:r>
        <w:rPr>
          <w:rFonts w:hint="eastAsia" w:ascii="Times New Roman" w:hAnsi="Times New Roman" w:eastAsia="宋体" w:cs="仿宋"/>
          <w:color w:val="000000"/>
          <w:sz w:val="30"/>
          <w:szCs w:val="30"/>
        </w:rPr>
        <w:t>月</w:t>
      </w:r>
      <w:r>
        <w:rPr>
          <w:rFonts w:hint="eastAsia" w:ascii="Times New Roman" w:hAnsi="Times New Roman" w:eastAsia="宋体" w:cs="仿宋"/>
          <w:color w:val="000000"/>
          <w:sz w:val="30"/>
          <w:szCs w:val="30"/>
          <w:lang w:val="en-US" w:eastAsia="zh-CN"/>
        </w:rPr>
        <w:t>09</w:t>
      </w:r>
      <w:r>
        <w:rPr>
          <w:rFonts w:hint="eastAsia" w:ascii="Times New Roman" w:hAnsi="Times New Roman" w:eastAsia="宋体" w:cs="仿宋"/>
          <w:color w:val="00000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4CDF58-C85A-49AF-A151-3D3B8BBC7D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92FA22F2-7AE7-46F5-9ED5-31B70AA3201C}"/>
  </w:font>
  <w:font w:name="方正小标宋简体">
    <w:panose1 w:val="02000000000000000000"/>
    <w:charset w:val="86"/>
    <w:family w:val="script"/>
    <w:pitch w:val="default"/>
    <w:sig w:usb0="00000001" w:usb1="08000000" w:usb2="00000000" w:usb3="00000000" w:csb0="00040000" w:csb1="00000000"/>
    <w:embedRegular r:id="rId3" w:fontKey="{79E85016-A2EA-4E1D-836E-4E586ED29CD0}"/>
  </w:font>
  <w:font w:name="仿宋_GB2312">
    <w:panose1 w:val="02010609030101010101"/>
    <w:charset w:val="86"/>
    <w:family w:val="modern"/>
    <w:pitch w:val="default"/>
    <w:sig w:usb0="00000001" w:usb1="080E0000" w:usb2="00000000" w:usb3="00000000" w:csb0="00040000" w:csb1="00000000"/>
    <w:embedRegular r:id="rId4" w:fontKey="{DACF49B8-538A-49C8-B2F4-000FE52697EE}"/>
  </w:font>
  <w:font w:name="仿宋">
    <w:panose1 w:val="02010609060101010101"/>
    <w:charset w:val="86"/>
    <w:family w:val="modern"/>
    <w:pitch w:val="default"/>
    <w:sig w:usb0="800002BF" w:usb1="38CF7CFA" w:usb2="00000016" w:usb3="00000000" w:csb0="00040001" w:csb1="00000000"/>
    <w:embedRegular r:id="rId5" w:fontKey="{354BA48D-455C-443A-BDD3-7708FB7C9EDD}"/>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4207E"/>
    <w:multiLevelType w:val="singleLevel"/>
    <w:tmpl w:val="07C4207E"/>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13"/>
      <w:suff w:val="nothing"/>
      <w:lvlText w:val="%1　"/>
      <w:lvlJc w:val="left"/>
      <w:pPr>
        <w:ind w:left="210" w:firstLine="0"/>
      </w:pPr>
      <w:rPr>
        <w:rFonts w:hint="eastAsia" w:ascii="黑体" w:hAnsi="Times New Roman" w:eastAsia="黑体"/>
        <w:b w:val="0"/>
        <w:i w:val="0"/>
        <w:sz w:val="21"/>
        <w:szCs w:val="21"/>
      </w:rPr>
    </w:lvl>
    <w:lvl w:ilvl="1" w:tentative="0">
      <w:start w:val="1"/>
      <w:numFmt w:val="decimal"/>
      <w:suff w:val="nothing"/>
      <w:lvlText w:val="%1.%2　"/>
      <w:lvlJc w:val="left"/>
      <w:pPr>
        <w:ind w:left="35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210" w:firstLine="0"/>
      </w:pPr>
      <w:rPr>
        <w:rFonts w:hint="eastAsia" w:ascii="黑体" w:hAnsi="Times New Roman" w:eastAsia="黑体"/>
        <w:b w:val="0"/>
        <w:i w:val="0"/>
        <w:sz w:val="21"/>
      </w:rPr>
    </w:lvl>
    <w:lvl w:ilvl="4" w:tentative="0">
      <w:start w:val="1"/>
      <w:numFmt w:val="decimal"/>
      <w:suff w:val="nothing"/>
      <w:lvlText w:val="%1.%2.%3.%4.%5　"/>
      <w:lvlJc w:val="left"/>
      <w:pPr>
        <w:ind w:left="210" w:firstLine="0"/>
      </w:pPr>
      <w:rPr>
        <w:rFonts w:hint="eastAsia" w:ascii="黑体" w:hAnsi="Times New Roman" w:eastAsia="黑体"/>
        <w:b w:val="0"/>
        <w:i w:val="0"/>
        <w:sz w:val="21"/>
      </w:rPr>
    </w:lvl>
    <w:lvl w:ilvl="5" w:tentative="0">
      <w:start w:val="1"/>
      <w:numFmt w:val="decimal"/>
      <w:suff w:val="nothing"/>
      <w:lvlText w:val="%1.%2.%3.%4.%5.%6　"/>
      <w:lvlJc w:val="left"/>
      <w:pPr>
        <w:ind w:left="210" w:firstLine="0"/>
      </w:pPr>
      <w:rPr>
        <w:rFonts w:hint="eastAsia" w:ascii="黑体" w:hAnsi="Times New Roman" w:eastAsia="黑体"/>
        <w:b w:val="0"/>
        <w:i w:val="0"/>
        <w:sz w:val="21"/>
      </w:rPr>
    </w:lvl>
    <w:lvl w:ilvl="6" w:tentative="0">
      <w:start w:val="1"/>
      <w:numFmt w:val="decimal"/>
      <w:suff w:val="nothing"/>
      <w:lvlText w:val="%1%2.%3.%4.%5.%6.%7　"/>
      <w:lvlJc w:val="left"/>
      <w:pPr>
        <w:ind w:left="210" w:firstLine="0"/>
      </w:pPr>
      <w:rPr>
        <w:rFonts w:hint="eastAsia" w:ascii="黑体" w:hAnsi="Times New Roman" w:eastAsia="黑体"/>
        <w:b w:val="0"/>
        <w:i w:val="0"/>
        <w:sz w:val="21"/>
      </w:rPr>
    </w:lvl>
    <w:lvl w:ilvl="7" w:tentative="0">
      <w:start w:val="1"/>
      <w:numFmt w:val="decimal"/>
      <w:lvlText w:val="%1.%2.%3.%4.%5.%6.%7.%8"/>
      <w:lvlJc w:val="left"/>
      <w:pPr>
        <w:tabs>
          <w:tab w:val="left" w:pos="4561"/>
        </w:tabs>
        <w:ind w:left="4179" w:hanging="1418"/>
      </w:pPr>
      <w:rPr>
        <w:rFonts w:hint="eastAsia"/>
      </w:rPr>
    </w:lvl>
    <w:lvl w:ilvl="8" w:tentative="0">
      <w:start w:val="1"/>
      <w:numFmt w:val="decimal"/>
      <w:lvlText w:val="%1.%2.%3.%4.%5.%6.%7.%8.%9"/>
      <w:lvlJc w:val="left"/>
      <w:pPr>
        <w:tabs>
          <w:tab w:val="left" w:pos="4987"/>
        </w:tabs>
        <w:ind w:left="488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NjgxZDRiZDYxNzA5ZWNmY2E4NWRkZDFhYmY5MTgifQ=="/>
  </w:docVars>
  <w:rsids>
    <w:rsidRoot w:val="004A4101"/>
    <w:rsid w:val="0000683F"/>
    <w:rsid w:val="00015292"/>
    <w:rsid w:val="000160DE"/>
    <w:rsid w:val="00022EDF"/>
    <w:rsid w:val="00030E83"/>
    <w:rsid w:val="00057D19"/>
    <w:rsid w:val="0006279D"/>
    <w:rsid w:val="00076B9F"/>
    <w:rsid w:val="0009068A"/>
    <w:rsid w:val="000A1F23"/>
    <w:rsid w:val="000A430B"/>
    <w:rsid w:val="000B182B"/>
    <w:rsid w:val="000B380C"/>
    <w:rsid w:val="000C3311"/>
    <w:rsid w:val="0012258B"/>
    <w:rsid w:val="00125A61"/>
    <w:rsid w:val="00137197"/>
    <w:rsid w:val="001419B9"/>
    <w:rsid w:val="001524FF"/>
    <w:rsid w:val="00155ABD"/>
    <w:rsid w:val="00172793"/>
    <w:rsid w:val="00182B2F"/>
    <w:rsid w:val="00183149"/>
    <w:rsid w:val="001912C5"/>
    <w:rsid w:val="001A0491"/>
    <w:rsid w:val="001A20F5"/>
    <w:rsid w:val="001C51B2"/>
    <w:rsid w:val="001C7FC0"/>
    <w:rsid w:val="001D6050"/>
    <w:rsid w:val="001D7611"/>
    <w:rsid w:val="00202503"/>
    <w:rsid w:val="00211E62"/>
    <w:rsid w:val="00212F2C"/>
    <w:rsid w:val="00213F64"/>
    <w:rsid w:val="002356D8"/>
    <w:rsid w:val="002403C5"/>
    <w:rsid w:val="00246380"/>
    <w:rsid w:val="00255B41"/>
    <w:rsid w:val="002715C5"/>
    <w:rsid w:val="0027372D"/>
    <w:rsid w:val="002765B0"/>
    <w:rsid w:val="002826F4"/>
    <w:rsid w:val="00296E98"/>
    <w:rsid w:val="002A3871"/>
    <w:rsid w:val="002B5096"/>
    <w:rsid w:val="002B7EC7"/>
    <w:rsid w:val="002C6FB1"/>
    <w:rsid w:val="002C73FB"/>
    <w:rsid w:val="002D44AE"/>
    <w:rsid w:val="002E2D17"/>
    <w:rsid w:val="002E782E"/>
    <w:rsid w:val="002F1A9F"/>
    <w:rsid w:val="002F3C23"/>
    <w:rsid w:val="00305891"/>
    <w:rsid w:val="00307353"/>
    <w:rsid w:val="003257CE"/>
    <w:rsid w:val="00331F2A"/>
    <w:rsid w:val="00333E59"/>
    <w:rsid w:val="003373F9"/>
    <w:rsid w:val="00340855"/>
    <w:rsid w:val="003456DA"/>
    <w:rsid w:val="00351E37"/>
    <w:rsid w:val="00362759"/>
    <w:rsid w:val="00363063"/>
    <w:rsid w:val="003755C4"/>
    <w:rsid w:val="00376F67"/>
    <w:rsid w:val="00396308"/>
    <w:rsid w:val="00396F29"/>
    <w:rsid w:val="003B0DFB"/>
    <w:rsid w:val="003C2B79"/>
    <w:rsid w:val="003D44DD"/>
    <w:rsid w:val="003D4B4E"/>
    <w:rsid w:val="003D5641"/>
    <w:rsid w:val="003D6990"/>
    <w:rsid w:val="003E6371"/>
    <w:rsid w:val="003F35BA"/>
    <w:rsid w:val="003F6109"/>
    <w:rsid w:val="00402252"/>
    <w:rsid w:val="00431A1D"/>
    <w:rsid w:val="00442B95"/>
    <w:rsid w:val="00447B6F"/>
    <w:rsid w:val="004528CC"/>
    <w:rsid w:val="00455360"/>
    <w:rsid w:val="00465005"/>
    <w:rsid w:val="00466646"/>
    <w:rsid w:val="00470E2C"/>
    <w:rsid w:val="004711E9"/>
    <w:rsid w:val="00477670"/>
    <w:rsid w:val="00480522"/>
    <w:rsid w:val="004864F0"/>
    <w:rsid w:val="0049312C"/>
    <w:rsid w:val="004A01BC"/>
    <w:rsid w:val="004A0C8C"/>
    <w:rsid w:val="004A4101"/>
    <w:rsid w:val="004C5002"/>
    <w:rsid w:val="004C5500"/>
    <w:rsid w:val="004D20F2"/>
    <w:rsid w:val="004D30E0"/>
    <w:rsid w:val="004D5854"/>
    <w:rsid w:val="004E233C"/>
    <w:rsid w:val="004E2ABF"/>
    <w:rsid w:val="004E426A"/>
    <w:rsid w:val="004F12B1"/>
    <w:rsid w:val="004F6355"/>
    <w:rsid w:val="004F7658"/>
    <w:rsid w:val="005152D1"/>
    <w:rsid w:val="00517DD4"/>
    <w:rsid w:val="005261DD"/>
    <w:rsid w:val="005315C8"/>
    <w:rsid w:val="00536518"/>
    <w:rsid w:val="0053786B"/>
    <w:rsid w:val="00542412"/>
    <w:rsid w:val="005442F8"/>
    <w:rsid w:val="00554E0F"/>
    <w:rsid w:val="005567A5"/>
    <w:rsid w:val="00560B6A"/>
    <w:rsid w:val="00563911"/>
    <w:rsid w:val="005A1DA4"/>
    <w:rsid w:val="005A3D11"/>
    <w:rsid w:val="005A741F"/>
    <w:rsid w:val="005B02D8"/>
    <w:rsid w:val="005B3EF9"/>
    <w:rsid w:val="005B6F03"/>
    <w:rsid w:val="005C21B3"/>
    <w:rsid w:val="005C35BE"/>
    <w:rsid w:val="005C6774"/>
    <w:rsid w:val="005C7100"/>
    <w:rsid w:val="005D199C"/>
    <w:rsid w:val="005E2D66"/>
    <w:rsid w:val="005F1A16"/>
    <w:rsid w:val="00600199"/>
    <w:rsid w:val="006041AD"/>
    <w:rsid w:val="00615881"/>
    <w:rsid w:val="00631B77"/>
    <w:rsid w:val="00640D5F"/>
    <w:rsid w:val="00642A2F"/>
    <w:rsid w:val="006538D8"/>
    <w:rsid w:val="00664715"/>
    <w:rsid w:val="00666DFE"/>
    <w:rsid w:val="006805B0"/>
    <w:rsid w:val="00680BEB"/>
    <w:rsid w:val="00681222"/>
    <w:rsid w:val="0068179F"/>
    <w:rsid w:val="00681BDF"/>
    <w:rsid w:val="00687BE5"/>
    <w:rsid w:val="00694CD8"/>
    <w:rsid w:val="006A4BE0"/>
    <w:rsid w:val="006A73A0"/>
    <w:rsid w:val="006B034F"/>
    <w:rsid w:val="006B6906"/>
    <w:rsid w:val="006B7CEE"/>
    <w:rsid w:val="006B7F52"/>
    <w:rsid w:val="006C3932"/>
    <w:rsid w:val="006E63F1"/>
    <w:rsid w:val="006F36DA"/>
    <w:rsid w:val="006F7454"/>
    <w:rsid w:val="00705EB1"/>
    <w:rsid w:val="00706799"/>
    <w:rsid w:val="00712E07"/>
    <w:rsid w:val="007261FA"/>
    <w:rsid w:val="00737434"/>
    <w:rsid w:val="0074268E"/>
    <w:rsid w:val="00770A8A"/>
    <w:rsid w:val="00784466"/>
    <w:rsid w:val="007A4645"/>
    <w:rsid w:val="007B6A8B"/>
    <w:rsid w:val="007C3074"/>
    <w:rsid w:val="007D0A7A"/>
    <w:rsid w:val="007E169F"/>
    <w:rsid w:val="007E1959"/>
    <w:rsid w:val="007F172A"/>
    <w:rsid w:val="007F586F"/>
    <w:rsid w:val="00802750"/>
    <w:rsid w:val="008160D7"/>
    <w:rsid w:val="008160F5"/>
    <w:rsid w:val="00817EF4"/>
    <w:rsid w:val="00825BC8"/>
    <w:rsid w:val="00826C32"/>
    <w:rsid w:val="008510FD"/>
    <w:rsid w:val="00853F87"/>
    <w:rsid w:val="008540FD"/>
    <w:rsid w:val="00855139"/>
    <w:rsid w:val="00862200"/>
    <w:rsid w:val="00864825"/>
    <w:rsid w:val="0086745D"/>
    <w:rsid w:val="00883DE8"/>
    <w:rsid w:val="00886925"/>
    <w:rsid w:val="00897419"/>
    <w:rsid w:val="008A7A27"/>
    <w:rsid w:val="008B4629"/>
    <w:rsid w:val="008C0EBD"/>
    <w:rsid w:val="008C2E6B"/>
    <w:rsid w:val="008D4D5D"/>
    <w:rsid w:val="008D7256"/>
    <w:rsid w:val="008E274B"/>
    <w:rsid w:val="008E7011"/>
    <w:rsid w:val="008F1A51"/>
    <w:rsid w:val="009026DA"/>
    <w:rsid w:val="009040CB"/>
    <w:rsid w:val="0091301E"/>
    <w:rsid w:val="0092474F"/>
    <w:rsid w:val="00933DD0"/>
    <w:rsid w:val="00935711"/>
    <w:rsid w:val="00950072"/>
    <w:rsid w:val="00950E32"/>
    <w:rsid w:val="009531C5"/>
    <w:rsid w:val="00983031"/>
    <w:rsid w:val="0098371B"/>
    <w:rsid w:val="00990158"/>
    <w:rsid w:val="00992885"/>
    <w:rsid w:val="009B399E"/>
    <w:rsid w:val="009C1550"/>
    <w:rsid w:val="009E2A83"/>
    <w:rsid w:val="00A01E4B"/>
    <w:rsid w:val="00A07563"/>
    <w:rsid w:val="00A1276F"/>
    <w:rsid w:val="00A1548F"/>
    <w:rsid w:val="00A204ED"/>
    <w:rsid w:val="00A43D1B"/>
    <w:rsid w:val="00A51B52"/>
    <w:rsid w:val="00A527BE"/>
    <w:rsid w:val="00A5611E"/>
    <w:rsid w:val="00A60515"/>
    <w:rsid w:val="00A62708"/>
    <w:rsid w:val="00A67A35"/>
    <w:rsid w:val="00A722CE"/>
    <w:rsid w:val="00A8399E"/>
    <w:rsid w:val="00A871CD"/>
    <w:rsid w:val="00A910F3"/>
    <w:rsid w:val="00AA1CA5"/>
    <w:rsid w:val="00AB60D6"/>
    <w:rsid w:val="00AB7004"/>
    <w:rsid w:val="00AB73AF"/>
    <w:rsid w:val="00AC4B5B"/>
    <w:rsid w:val="00AE1DC0"/>
    <w:rsid w:val="00B23CD1"/>
    <w:rsid w:val="00B35957"/>
    <w:rsid w:val="00B40E8C"/>
    <w:rsid w:val="00B41504"/>
    <w:rsid w:val="00B508FE"/>
    <w:rsid w:val="00B516C0"/>
    <w:rsid w:val="00B539D4"/>
    <w:rsid w:val="00B662BC"/>
    <w:rsid w:val="00B73343"/>
    <w:rsid w:val="00B75559"/>
    <w:rsid w:val="00B8146C"/>
    <w:rsid w:val="00B85D35"/>
    <w:rsid w:val="00B9678E"/>
    <w:rsid w:val="00B977A2"/>
    <w:rsid w:val="00BB2853"/>
    <w:rsid w:val="00BB69CE"/>
    <w:rsid w:val="00BD0AB4"/>
    <w:rsid w:val="00BD5850"/>
    <w:rsid w:val="00BE42D2"/>
    <w:rsid w:val="00BE6069"/>
    <w:rsid w:val="00BE6707"/>
    <w:rsid w:val="00BE6762"/>
    <w:rsid w:val="00C20E83"/>
    <w:rsid w:val="00C25054"/>
    <w:rsid w:val="00C307D9"/>
    <w:rsid w:val="00C33353"/>
    <w:rsid w:val="00C41475"/>
    <w:rsid w:val="00C43126"/>
    <w:rsid w:val="00C6119C"/>
    <w:rsid w:val="00C6239A"/>
    <w:rsid w:val="00C72FCE"/>
    <w:rsid w:val="00C80BED"/>
    <w:rsid w:val="00C90364"/>
    <w:rsid w:val="00C904B8"/>
    <w:rsid w:val="00C926FB"/>
    <w:rsid w:val="00CA721B"/>
    <w:rsid w:val="00CB7729"/>
    <w:rsid w:val="00CD2DE8"/>
    <w:rsid w:val="00CD3354"/>
    <w:rsid w:val="00CE20AC"/>
    <w:rsid w:val="00CE35BE"/>
    <w:rsid w:val="00CE7A9A"/>
    <w:rsid w:val="00CF20A1"/>
    <w:rsid w:val="00D12494"/>
    <w:rsid w:val="00D24980"/>
    <w:rsid w:val="00D3545D"/>
    <w:rsid w:val="00D82F95"/>
    <w:rsid w:val="00DD6F8D"/>
    <w:rsid w:val="00DE2F31"/>
    <w:rsid w:val="00E10D70"/>
    <w:rsid w:val="00E2217B"/>
    <w:rsid w:val="00E26593"/>
    <w:rsid w:val="00E4145E"/>
    <w:rsid w:val="00E52E86"/>
    <w:rsid w:val="00E61757"/>
    <w:rsid w:val="00E6681D"/>
    <w:rsid w:val="00E70AAC"/>
    <w:rsid w:val="00E97355"/>
    <w:rsid w:val="00EB6696"/>
    <w:rsid w:val="00EC4781"/>
    <w:rsid w:val="00ED1528"/>
    <w:rsid w:val="00ED31BB"/>
    <w:rsid w:val="00ED4976"/>
    <w:rsid w:val="00ED73BA"/>
    <w:rsid w:val="00EE6982"/>
    <w:rsid w:val="00F11163"/>
    <w:rsid w:val="00F11A5D"/>
    <w:rsid w:val="00F1202C"/>
    <w:rsid w:val="00F13122"/>
    <w:rsid w:val="00F16970"/>
    <w:rsid w:val="00F16B64"/>
    <w:rsid w:val="00F16FED"/>
    <w:rsid w:val="00F21430"/>
    <w:rsid w:val="00F250A2"/>
    <w:rsid w:val="00F26F88"/>
    <w:rsid w:val="00F27741"/>
    <w:rsid w:val="00F31519"/>
    <w:rsid w:val="00F31C19"/>
    <w:rsid w:val="00F3576B"/>
    <w:rsid w:val="00F36DEE"/>
    <w:rsid w:val="00F41487"/>
    <w:rsid w:val="00F439C4"/>
    <w:rsid w:val="00F5233C"/>
    <w:rsid w:val="00F52430"/>
    <w:rsid w:val="00F643A9"/>
    <w:rsid w:val="00F75A4C"/>
    <w:rsid w:val="00F917A5"/>
    <w:rsid w:val="00FB2AEC"/>
    <w:rsid w:val="00FD1C2F"/>
    <w:rsid w:val="00FD68AF"/>
    <w:rsid w:val="00FD7FD8"/>
    <w:rsid w:val="00FE23A5"/>
    <w:rsid w:val="00FE4252"/>
    <w:rsid w:val="00FF06AE"/>
    <w:rsid w:val="00FF7782"/>
    <w:rsid w:val="010D07CB"/>
    <w:rsid w:val="01113D6B"/>
    <w:rsid w:val="022950E4"/>
    <w:rsid w:val="04B6416D"/>
    <w:rsid w:val="04D57A9A"/>
    <w:rsid w:val="059A7784"/>
    <w:rsid w:val="066825C9"/>
    <w:rsid w:val="06DF236E"/>
    <w:rsid w:val="077C229B"/>
    <w:rsid w:val="08BB280E"/>
    <w:rsid w:val="0A5E6B89"/>
    <w:rsid w:val="0CBD06F8"/>
    <w:rsid w:val="0EDA27B8"/>
    <w:rsid w:val="0F8A20FA"/>
    <w:rsid w:val="130122D5"/>
    <w:rsid w:val="13A2755A"/>
    <w:rsid w:val="13CA1B57"/>
    <w:rsid w:val="13F05A62"/>
    <w:rsid w:val="175A79F8"/>
    <w:rsid w:val="1B524300"/>
    <w:rsid w:val="1BDD2632"/>
    <w:rsid w:val="20EB251E"/>
    <w:rsid w:val="27065D49"/>
    <w:rsid w:val="299F78B6"/>
    <w:rsid w:val="2AE674AF"/>
    <w:rsid w:val="2F4D3910"/>
    <w:rsid w:val="2FB71E7E"/>
    <w:rsid w:val="30D916C0"/>
    <w:rsid w:val="334F654D"/>
    <w:rsid w:val="37865C12"/>
    <w:rsid w:val="38AF73EA"/>
    <w:rsid w:val="3AD2717E"/>
    <w:rsid w:val="3B871E24"/>
    <w:rsid w:val="3BDF7FE6"/>
    <w:rsid w:val="3DE0767D"/>
    <w:rsid w:val="3F2F0993"/>
    <w:rsid w:val="3FB21C44"/>
    <w:rsid w:val="445A7511"/>
    <w:rsid w:val="46DE7ADD"/>
    <w:rsid w:val="477655BF"/>
    <w:rsid w:val="47DD4B30"/>
    <w:rsid w:val="482E5434"/>
    <w:rsid w:val="48F86243"/>
    <w:rsid w:val="4ADF4067"/>
    <w:rsid w:val="4BD83458"/>
    <w:rsid w:val="4C140F53"/>
    <w:rsid w:val="4E080285"/>
    <w:rsid w:val="51204224"/>
    <w:rsid w:val="518C3123"/>
    <w:rsid w:val="54CF75E6"/>
    <w:rsid w:val="591E0CF9"/>
    <w:rsid w:val="5B1E7D8B"/>
    <w:rsid w:val="5B7200D7"/>
    <w:rsid w:val="5B7632AF"/>
    <w:rsid w:val="5D3874C9"/>
    <w:rsid w:val="5E4A70E9"/>
    <w:rsid w:val="60FF5F74"/>
    <w:rsid w:val="63D64911"/>
    <w:rsid w:val="6523352A"/>
    <w:rsid w:val="69771111"/>
    <w:rsid w:val="6BAC3618"/>
    <w:rsid w:val="6BE24E05"/>
    <w:rsid w:val="6DBA7A33"/>
    <w:rsid w:val="6FEC0000"/>
    <w:rsid w:val="70DD4914"/>
    <w:rsid w:val="75CC5FE3"/>
    <w:rsid w:val="75E84ED4"/>
    <w:rsid w:val="76065B94"/>
    <w:rsid w:val="7C0F2803"/>
    <w:rsid w:val="7D2D1C58"/>
    <w:rsid w:val="7D482513"/>
    <w:rsid w:val="7D8521AB"/>
    <w:rsid w:val="7D9561F5"/>
    <w:rsid w:val="7F67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pPr>
      <w:jc w:val="left"/>
    </w:pPr>
  </w:style>
  <w:style w:type="paragraph" w:styleId="3">
    <w:name w:val="Body Text Indent"/>
    <w:basedOn w:val="1"/>
    <w:qFormat/>
    <w:uiPriority w:val="0"/>
    <w:pPr>
      <w:widowControl/>
      <w:spacing w:before="100" w:beforeAutospacing="1" w:after="100" w:afterAutospacing="1"/>
      <w:jc w:val="left"/>
    </w:pPr>
    <w:rPr>
      <w:rFonts w:ascii="宋体" w:hAnsi="宋体" w:eastAsia="宋体" w:cs="宋体"/>
      <w:kern w:val="0"/>
      <w:sz w:val="24"/>
    </w:rPr>
  </w:style>
  <w:style w:type="paragraph" w:styleId="4">
    <w:name w:val="Plain Text"/>
    <w:basedOn w:val="1"/>
    <w:qFormat/>
    <w:uiPriority w:val="0"/>
    <w:rPr>
      <w:rFonts w:ascii="宋体" w:hAnsi="Courier New" w:cs="Courier New"/>
      <w:szCs w:val="21"/>
    </w:r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semiHidden/>
    <w:unhideWhenUsed/>
    <w:qFormat/>
    <w:uiPriority w:val="0"/>
    <w:rPr>
      <w:b/>
      <w:bCs/>
    </w:rPr>
  </w:style>
  <w:style w:type="character" w:styleId="11">
    <w:name w:val="annotation reference"/>
    <w:basedOn w:val="10"/>
    <w:semiHidden/>
    <w:unhideWhenUsed/>
    <w:qFormat/>
    <w:uiPriority w:val="0"/>
    <w:rPr>
      <w:sz w:val="21"/>
      <w:szCs w:val="21"/>
    </w:r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章标题"/>
    <w:next w:val="14"/>
    <w:qFormat/>
    <w:uiPriority w:val="0"/>
    <w:pPr>
      <w:numPr>
        <w:ilvl w:val="0"/>
        <w:numId w:val="1"/>
      </w:num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sz w:val="21"/>
      <w:szCs w:val="22"/>
      <w:lang w:val="en-US" w:eastAsia="zh-CN" w:bidi="ar-SA"/>
    </w:rPr>
  </w:style>
  <w:style w:type="paragraph" w:customStyle="1" w:styleId="15">
    <w:name w:val="封面标准英文名称"/>
    <w:basedOn w:val="1"/>
    <w:qFormat/>
    <w:uiPriority w:val="0"/>
    <w:pPr>
      <w:spacing w:before="370" w:line="400" w:lineRule="exact"/>
      <w:jc w:val="center"/>
      <w:textAlignment w:val="center"/>
    </w:pPr>
    <w:rPr>
      <w:rFonts w:ascii="Times New Roman" w:hAnsi="Times New Roman" w:eastAsia="黑体"/>
      <w:kern w:val="0"/>
      <w:sz w:val="28"/>
      <w:szCs w:val="2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框文本 字符"/>
    <w:basedOn w:val="10"/>
    <w:link w:val="5"/>
    <w:qFormat/>
    <w:uiPriority w:val="0"/>
    <w:rPr>
      <w:kern w:val="2"/>
      <w:sz w:val="18"/>
      <w:szCs w:val="18"/>
    </w:rPr>
  </w:style>
  <w:style w:type="character" w:customStyle="1" w:styleId="19">
    <w:name w:val="批注文字 字符"/>
    <w:basedOn w:val="10"/>
    <w:link w:val="2"/>
    <w:semiHidden/>
    <w:qFormat/>
    <w:uiPriority w:val="0"/>
    <w:rPr>
      <w:kern w:val="2"/>
      <w:sz w:val="21"/>
      <w:szCs w:val="24"/>
    </w:rPr>
  </w:style>
  <w:style w:type="character" w:customStyle="1" w:styleId="20">
    <w:name w:val="批注主题 字符"/>
    <w:basedOn w:val="19"/>
    <w:link w:val="8"/>
    <w:semiHidden/>
    <w:qFormat/>
    <w:uiPriority w:val="0"/>
    <w:rPr>
      <w:b/>
      <w:bCs/>
      <w:kern w:val="2"/>
      <w:sz w:val="21"/>
      <w:szCs w:val="24"/>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D0194-8E12-4CA6-88DB-B006745819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2634</Words>
  <Characters>2847</Characters>
  <Lines>24</Lines>
  <Paragraphs>6</Paragraphs>
  <TotalTime>3</TotalTime>
  <ScaleCrop>false</ScaleCrop>
  <LinksUpToDate>false</LinksUpToDate>
  <CharactersWithSpaces>2895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2020-04-22T02:56:00Z</dcterms:created>
  <dc:creator>标办</dc:creator>
  <cp:lastModifiedBy>白术</cp:lastModifiedBy>
  <dcterms:modified xsi:type="dcterms:W3CDTF">2024-11-10T13:58:01Z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43542E84583C4E1C8BC588685D642BE6_13</vt:lpwstr>
  </property>
</Properties>
</file>